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7577" w14:textId="77777777" w:rsidR="006E18C5" w:rsidRPr="00E35298" w:rsidRDefault="006E18C5" w:rsidP="00CC063F">
      <w:pPr>
        <w:pBdr>
          <w:bottom w:val="single" w:sz="4" w:space="1" w:color="auto"/>
        </w:pBdr>
        <w:spacing w:line="240" w:lineRule="auto"/>
        <w:jc w:val="center"/>
        <w:rPr>
          <w:rFonts w:ascii="Cambria" w:hAnsi="Cambria" w:cs="Arial"/>
          <w:b/>
          <w:spacing w:val="20"/>
        </w:rPr>
      </w:pPr>
      <w:r w:rsidRPr="00E35298">
        <w:rPr>
          <w:rFonts w:ascii="Cambria" w:hAnsi="Cambria" w:cs="Arial"/>
          <w:b/>
          <w:spacing w:val="20"/>
        </w:rPr>
        <w:t>UZASADNIENIE</w:t>
      </w:r>
      <w:r w:rsidRPr="00E35298">
        <w:rPr>
          <w:rFonts w:ascii="Cambria" w:hAnsi="Cambria" w:cs="Arial"/>
          <w:vertAlign w:val="superscript"/>
        </w:rPr>
        <w:footnoteReference w:id="1"/>
      </w:r>
    </w:p>
    <w:p w14:paraId="508B164B" w14:textId="77777777" w:rsidR="00571748" w:rsidRPr="00143E5F" w:rsidRDefault="006E18C5" w:rsidP="00143E5F">
      <w:pPr>
        <w:spacing w:line="240" w:lineRule="auto"/>
        <w:rPr>
          <w:rFonts w:ascii="Cambria" w:hAnsi="Cambria" w:cs="Arial"/>
          <w:b/>
        </w:rPr>
      </w:pPr>
      <w:r w:rsidRPr="00143E5F">
        <w:rPr>
          <w:rFonts w:ascii="Cambria" w:hAnsi="Cambria" w:cs="Arial"/>
          <w:b/>
        </w:rPr>
        <w:t xml:space="preserve">do projektu </w:t>
      </w:r>
      <w:r w:rsidR="005E1CFF" w:rsidRPr="00143E5F">
        <w:rPr>
          <w:rFonts w:ascii="Cambria" w:hAnsi="Cambria" w:cs="Arial"/>
          <w:b/>
        </w:rPr>
        <w:t xml:space="preserve">uchwały w sprawie </w:t>
      </w:r>
      <w:r w:rsidR="00143E5F" w:rsidRPr="00143E5F">
        <w:rPr>
          <w:rFonts w:ascii="Cambria" w:hAnsi="Cambria" w:cs="Arial"/>
          <w:b/>
          <w:szCs w:val="24"/>
        </w:rPr>
        <w:t>zmiany w Uchwale nr IX/123/2003 Rady Miasta w Piotrkowie Trybunalskim z dnia 30 czerwca 2003 r. w sprawie miejscowego planu zagospodarowania przestrzennego w Piotrkowie Trybunalskim obejmującego obszar zawarty między liniami regulacyjnymi ulic: od północy: al. gen. Wł. Sikorskiego, od wschodu: Projektowaną 2, od południa: ulicą projektowaną Z 1/2 wraz z częścią terenu po południowej stronie projektowanej ulicy Z1/2, stanowiącą rezerwę dla rozwiązań komunikacyjnych połączenia ulic projektowanych GP i Z, określonych w miejscowym ogólnym planie zagospodarowania przestrzennego m. Piotrkowa Tryb. i ul. </w:t>
      </w:r>
      <w:proofErr w:type="spellStart"/>
      <w:r w:rsidR="00143E5F" w:rsidRPr="00143E5F">
        <w:rPr>
          <w:rFonts w:ascii="Cambria" w:hAnsi="Cambria" w:cs="Arial"/>
          <w:b/>
          <w:szCs w:val="24"/>
        </w:rPr>
        <w:t>Belzacką</w:t>
      </w:r>
      <w:proofErr w:type="spellEnd"/>
      <w:r w:rsidR="00143E5F" w:rsidRPr="00143E5F">
        <w:rPr>
          <w:rFonts w:ascii="Cambria" w:hAnsi="Cambria" w:cs="Arial"/>
          <w:b/>
          <w:szCs w:val="24"/>
        </w:rPr>
        <w:t xml:space="preserve"> oraz od zachodu: granicą działek o nr. ewidencyjnych: 99/33, 99/43, 99/29, 99/30, 99/17, 99/9 w obrębie nr 29.</w:t>
      </w:r>
    </w:p>
    <w:p w14:paraId="02E320B4" w14:textId="77777777" w:rsidR="00255F89" w:rsidRPr="001670D6" w:rsidRDefault="00255F89" w:rsidP="00CC063F">
      <w:pPr>
        <w:spacing w:line="240" w:lineRule="auto"/>
        <w:jc w:val="center"/>
        <w:rPr>
          <w:rFonts w:ascii="Cambria" w:hAnsi="Cambria" w:cs="Arial"/>
          <w:b/>
        </w:rPr>
      </w:pPr>
      <w:r w:rsidRPr="001670D6">
        <w:rPr>
          <w:rFonts w:ascii="Cambria" w:hAnsi="Cambria" w:cs="Arial"/>
          <w:b/>
        </w:rPr>
        <w:t xml:space="preserve">ETAP </w:t>
      </w:r>
      <w:r w:rsidR="00A30C5C">
        <w:rPr>
          <w:rFonts w:ascii="Cambria" w:hAnsi="Cambria" w:cs="Arial"/>
          <w:b/>
        </w:rPr>
        <w:t>UZGADNIANIA I OPINIOWANIA</w:t>
      </w:r>
      <w:r w:rsidR="004B2212" w:rsidRPr="001670D6">
        <w:rPr>
          <w:rFonts w:ascii="Cambria" w:hAnsi="Cambria" w:cs="Arial"/>
          <w:b/>
        </w:rPr>
        <w:t xml:space="preserve"> </w:t>
      </w:r>
      <w:r w:rsidRPr="001670D6">
        <w:rPr>
          <w:rFonts w:ascii="Cambria" w:hAnsi="Cambria" w:cs="Arial"/>
          <w:b/>
        </w:rPr>
        <w:t>ZMIANY PLANU MIEJSCOWEGO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1"/>
        <w:gridCol w:w="9957"/>
      </w:tblGrid>
      <w:tr w:rsidR="001670D6" w:rsidRPr="00143E5F" w14:paraId="356C7B76" w14:textId="77777777" w:rsidTr="00EA47C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357" w:type="dxa"/>
            <w:tcBorders>
              <w:bottom w:val="double" w:sz="4" w:space="0" w:color="auto"/>
            </w:tcBorders>
          </w:tcPr>
          <w:p w14:paraId="5E6A4A9E" w14:textId="77777777" w:rsidR="006E18C5" w:rsidRPr="001670D6" w:rsidRDefault="006E18C5" w:rsidP="009A1050">
            <w:pPr>
              <w:spacing w:before="120" w:line="240" w:lineRule="auto"/>
              <w:rPr>
                <w:rFonts w:ascii="Cambria" w:hAnsi="Cambria" w:cs="Arial"/>
              </w:rPr>
            </w:pPr>
            <w:r w:rsidRPr="001670D6">
              <w:rPr>
                <w:rFonts w:ascii="Cambria" w:hAnsi="Cambria" w:cs="Arial"/>
              </w:rPr>
              <w:t>Podstawa prawna</w:t>
            </w:r>
          </w:p>
        </w:tc>
        <w:tc>
          <w:tcPr>
            <w:tcW w:w="10018" w:type="dxa"/>
            <w:tcBorders>
              <w:bottom w:val="double" w:sz="4" w:space="0" w:color="auto"/>
            </w:tcBorders>
          </w:tcPr>
          <w:p w14:paraId="2EBD7634" w14:textId="77777777" w:rsidR="006E18C5" w:rsidRPr="001670D6" w:rsidRDefault="006E18C5" w:rsidP="00CC063F">
            <w:pPr>
              <w:spacing w:before="120" w:line="240" w:lineRule="auto"/>
              <w:jc w:val="center"/>
              <w:rPr>
                <w:rFonts w:ascii="Cambria" w:hAnsi="Cambria" w:cs="Arial"/>
              </w:rPr>
            </w:pPr>
            <w:r w:rsidRPr="001670D6">
              <w:rPr>
                <w:rFonts w:ascii="Cambria" w:hAnsi="Cambria" w:cs="Arial"/>
              </w:rPr>
              <w:t>Treść uzasadnienia</w:t>
            </w:r>
          </w:p>
        </w:tc>
      </w:tr>
      <w:tr w:rsidR="00A02AFA" w:rsidRPr="00143E5F" w14:paraId="2FB073BB" w14:textId="77777777" w:rsidTr="00457CED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5357" w:type="dxa"/>
            <w:tcBorders>
              <w:top w:val="double" w:sz="4" w:space="0" w:color="auto"/>
            </w:tcBorders>
          </w:tcPr>
          <w:p w14:paraId="1DC93E27" w14:textId="77777777" w:rsidR="006E18C5" w:rsidRPr="004B52CE" w:rsidRDefault="007F2816" w:rsidP="009A1050">
            <w:pPr>
              <w:spacing w:before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4B52CE">
              <w:rPr>
                <w:rFonts w:ascii="Cambria" w:hAnsi="Cambria" w:cs="Arial"/>
                <w:sz w:val="20"/>
                <w:szCs w:val="20"/>
              </w:rPr>
              <w:t>Art. 1, ust. 2, p. 1)</w:t>
            </w:r>
          </w:p>
          <w:p w14:paraId="4C62214E" w14:textId="77777777" w:rsidR="006E18C5" w:rsidRPr="004B52CE" w:rsidRDefault="006E18C5" w:rsidP="009A1050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4B52CE">
              <w:rPr>
                <w:rFonts w:ascii="Cambria" w:hAnsi="Cambria" w:cs="Arial"/>
                <w:sz w:val="20"/>
                <w:szCs w:val="20"/>
              </w:rPr>
              <w:t xml:space="preserve">wymagania ładu przestrzennego, w tym urbanistyki </w:t>
            </w:r>
            <w:r w:rsidRPr="004B52CE">
              <w:rPr>
                <w:rFonts w:ascii="Cambria" w:hAnsi="Cambria" w:cs="Arial"/>
                <w:sz w:val="20"/>
                <w:szCs w:val="20"/>
              </w:rPr>
              <w:br/>
              <w:t>i architektury;</w:t>
            </w:r>
          </w:p>
        </w:tc>
        <w:tc>
          <w:tcPr>
            <w:tcW w:w="10018" w:type="dxa"/>
            <w:tcBorders>
              <w:top w:val="double" w:sz="4" w:space="0" w:color="auto"/>
            </w:tcBorders>
          </w:tcPr>
          <w:p w14:paraId="6BA47D95" w14:textId="77777777" w:rsidR="005E1CFF" w:rsidRPr="004B52CE" w:rsidRDefault="005E1CFF" w:rsidP="005E1CFF">
            <w:pPr>
              <w:spacing w:before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4B52CE">
              <w:rPr>
                <w:rFonts w:ascii="Cambria" w:hAnsi="Cambria" w:cs="Arial"/>
                <w:sz w:val="20"/>
                <w:szCs w:val="20"/>
              </w:rPr>
              <w:t xml:space="preserve">Miejscowy plan zagospodarowania przestrzennego został zainicjowany </w:t>
            </w:r>
            <w:r w:rsidR="00CE6C80" w:rsidRPr="004B52CE">
              <w:rPr>
                <w:rFonts w:ascii="Cambria" w:hAnsi="Cambria" w:cs="Arial"/>
                <w:sz w:val="20"/>
                <w:szCs w:val="20"/>
              </w:rPr>
              <w:t xml:space="preserve">uchwałą </w:t>
            </w:r>
            <w:r w:rsidRPr="004B52CE">
              <w:rPr>
                <w:rFonts w:ascii="Cambria" w:hAnsi="Cambria" w:cs="Arial"/>
                <w:sz w:val="20"/>
                <w:szCs w:val="20"/>
              </w:rPr>
              <w:t>NR LX</w:t>
            </w:r>
            <w:r w:rsidR="00CE6C80" w:rsidRPr="004B52CE">
              <w:rPr>
                <w:rFonts w:ascii="Cambria" w:hAnsi="Cambria" w:cs="Arial"/>
                <w:sz w:val="20"/>
                <w:szCs w:val="20"/>
              </w:rPr>
              <w:t>VII</w:t>
            </w:r>
            <w:r w:rsidRPr="004B52CE">
              <w:rPr>
                <w:rFonts w:ascii="Cambria" w:hAnsi="Cambria" w:cs="Arial"/>
                <w:sz w:val="20"/>
                <w:szCs w:val="20"/>
              </w:rPr>
              <w:t>/</w:t>
            </w:r>
            <w:r w:rsidR="00CE6C80" w:rsidRPr="004B52CE">
              <w:rPr>
                <w:rFonts w:ascii="Cambria" w:hAnsi="Cambria" w:cs="Arial"/>
                <w:sz w:val="20"/>
                <w:szCs w:val="20"/>
              </w:rPr>
              <w:t>831</w:t>
            </w:r>
            <w:r w:rsidRPr="004B52CE">
              <w:rPr>
                <w:rFonts w:ascii="Cambria" w:hAnsi="Cambria" w:cs="Arial"/>
                <w:sz w:val="20"/>
                <w:szCs w:val="20"/>
              </w:rPr>
              <w:t xml:space="preserve">/23 RADY MIASTA PIOTRKOWA TRYBUNALSKIEGO z dnia </w:t>
            </w:r>
            <w:r w:rsidR="00CE6C80" w:rsidRPr="004B52CE">
              <w:rPr>
                <w:rFonts w:ascii="Cambria" w:hAnsi="Cambria" w:cs="Arial"/>
                <w:sz w:val="20"/>
                <w:szCs w:val="20"/>
              </w:rPr>
              <w:t>27</w:t>
            </w:r>
            <w:r w:rsidRPr="004B52CE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CE6C80" w:rsidRPr="004B52CE">
              <w:rPr>
                <w:rFonts w:ascii="Cambria" w:hAnsi="Cambria" w:cs="Arial"/>
                <w:sz w:val="20"/>
                <w:szCs w:val="20"/>
              </w:rPr>
              <w:t>września</w:t>
            </w:r>
            <w:r w:rsidRPr="004B52CE">
              <w:rPr>
                <w:rFonts w:ascii="Cambria" w:hAnsi="Cambria" w:cs="Arial"/>
                <w:sz w:val="20"/>
                <w:szCs w:val="20"/>
              </w:rPr>
              <w:t xml:space="preserve"> 2023 r. w sprawie </w:t>
            </w:r>
            <w:r w:rsidR="00CE6C80" w:rsidRPr="004B52CE">
              <w:rPr>
                <w:rFonts w:ascii="Cambria" w:hAnsi="Cambria" w:cs="Arial"/>
                <w:sz w:val="20"/>
                <w:szCs w:val="20"/>
              </w:rPr>
              <w:t>przystąpienia do sporządzenia zmiany w Uchwale nr IX/123/2003 Rady Miasta w Piotrkowie Trybunalskim z dnia 30 czerwca 2003 r. w sprawie miejscowego planu zagospodarowania przestrzennego w Piotrkowie Trybunalskim obejmującego obszar zawarty między liniami regulacyjnymi ulic: od północy: al. gen. Wł. Sikorskiego, od wschodu: Projektowaną 2, od południa: ulicą projektowaną Z 1/2 wraz z częścią terenu po południowej stronie projektowanej ulicy Z1/2, stanowiącą rezerwę dla rozwiązań komunikacyjnych połączenia ulic projektowanych GP i Z, określonych w miejscowym ogólnym planie zagospodarowania przestrzennego m. Piotrkowa Tryb. i ul. </w:t>
            </w:r>
            <w:proofErr w:type="spellStart"/>
            <w:r w:rsidR="00CE6C80" w:rsidRPr="004B52CE">
              <w:rPr>
                <w:rFonts w:ascii="Cambria" w:hAnsi="Cambria" w:cs="Arial"/>
                <w:sz w:val="20"/>
                <w:szCs w:val="20"/>
              </w:rPr>
              <w:t>Belzacką</w:t>
            </w:r>
            <w:proofErr w:type="spellEnd"/>
            <w:r w:rsidR="00CE6C80" w:rsidRPr="004B52CE">
              <w:rPr>
                <w:rFonts w:ascii="Cambria" w:hAnsi="Cambria" w:cs="Arial"/>
                <w:sz w:val="20"/>
                <w:szCs w:val="20"/>
              </w:rPr>
              <w:t xml:space="preserve"> oraz od zachodu: granicą działek o nr. ewidencyjnych: 99/33, 99/43, 99/29, 99/30, 99/17, 99/9 w obrębie nr 29.</w:t>
            </w:r>
          </w:p>
          <w:p w14:paraId="2072AB93" w14:textId="77777777" w:rsidR="005E2D4B" w:rsidRPr="004B52CE" w:rsidRDefault="005E1CFF" w:rsidP="00457CED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4B52CE">
              <w:rPr>
                <w:rFonts w:ascii="Cambria" w:hAnsi="Cambria" w:cs="Arial"/>
                <w:sz w:val="20"/>
                <w:szCs w:val="20"/>
              </w:rPr>
              <w:t xml:space="preserve">Przedmiotem modyfikacji ustaleń planu jest </w:t>
            </w:r>
            <w:r w:rsidR="005E2D4B" w:rsidRPr="004B52CE">
              <w:rPr>
                <w:rFonts w:ascii="Cambria" w:hAnsi="Cambria" w:cs="Arial"/>
                <w:sz w:val="20"/>
                <w:szCs w:val="20"/>
              </w:rPr>
              <w:t>dopuszczenie w istniejących budynkach funkcji usług kultury, gastronomii i administracji</w:t>
            </w:r>
            <w:r w:rsidR="00DC00E9" w:rsidRPr="004B52CE">
              <w:rPr>
                <w:rFonts w:ascii="Cambria" w:hAnsi="Cambria" w:cs="Arial"/>
                <w:sz w:val="20"/>
                <w:szCs w:val="20"/>
              </w:rPr>
              <w:t xml:space="preserve">, poprzez zmianę § </w:t>
            </w:r>
            <w:r w:rsidR="005E2D4B" w:rsidRPr="004B52CE">
              <w:rPr>
                <w:rFonts w:ascii="Cambria" w:hAnsi="Cambria" w:cs="Arial"/>
                <w:sz w:val="20"/>
                <w:szCs w:val="20"/>
              </w:rPr>
              <w:t>34</w:t>
            </w:r>
            <w:r w:rsidR="00DC00E9" w:rsidRPr="004B52CE">
              <w:rPr>
                <w:rFonts w:ascii="Cambria" w:hAnsi="Cambria" w:cs="Arial"/>
                <w:sz w:val="20"/>
                <w:szCs w:val="20"/>
              </w:rPr>
              <w:t>, ust.</w:t>
            </w:r>
            <w:r w:rsidR="005E2D4B" w:rsidRPr="004B52CE">
              <w:rPr>
                <w:rFonts w:ascii="Cambria" w:hAnsi="Cambria" w:cs="Arial"/>
                <w:sz w:val="20"/>
                <w:szCs w:val="20"/>
              </w:rPr>
              <w:t xml:space="preserve"> 3</w:t>
            </w:r>
            <w:r w:rsidR="00DC00E9" w:rsidRPr="004B52CE">
              <w:rPr>
                <w:rFonts w:ascii="Cambria" w:hAnsi="Cambria" w:cs="Arial"/>
                <w:sz w:val="20"/>
                <w:szCs w:val="20"/>
              </w:rPr>
              <w:t xml:space="preserve"> o dotychczasowym brzmieniu</w:t>
            </w:r>
            <w:r w:rsidR="005E2D4B" w:rsidRPr="004B52CE">
              <w:rPr>
                <w:rFonts w:ascii="Cambria" w:hAnsi="Cambria" w:cs="Arial"/>
                <w:sz w:val="20"/>
                <w:szCs w:val="20"/>
              </w:rPr>
              <w:t>:</w:t>
            </w:r>
          </w:p>
          <w:p w14:paraId="6A2CF659" w14:textId="77777777" w:rsidR="005E2D4B" w:rsidRPr="004B52CE" w:rsidRDefault="005E2D4B" w:rsidP="00457CED">
            <w:pPr>
              <w:pStyle w:val="Tekstpodstawowy"/>
              <w:tabs>
                <w:tab w:val="right" w:pos="-2835"/>
              </w:tabs>
              <w:suppressAutoHyphens/>
              <w:spacing w:after="60"/>
              <w:rPr>
                <w:rFonts w:ascii="Cambria" w:hAnsi="Cambria"/>
                <w:sz w:val="20"/>
              </w:rPr>
            </w:pPr>
            <w:r w:rsidRPr="004B52CE">
              <w:rPr>
                <w:rFonts w:ascii="Cambria" w:hAnsi="Cambria"/>
                <w:sz w:val="20"/>
              </w:rPr>
              <w:t>„Dla obiektów związanych z usługami oświaty, zlokalizowanych w południowo-zachodniej części terenu ustala się:</w:t>
            </w:r>
          </w:p>
          <w:p w14:paraId="59F3AD44" w14:textId="77777777" w:rsidR="005E2D4B" w:rsidRPr="004B52CE" w:rsidRDefault="005E2D4B" w:rsidP="00457CED">
            <w:pPr>
              <w:pStyle w:val="Tekstpodstawowy"/>
              <w:numPr>
                <w:ilvl w:val="0"/>
                <w:numId w:val="10"/>
              </w:numPr>
              <w:tabs>
                <w:tab w:val="clear" w:pos="360"/>
                <w:tab w:val="right" w:pos="-3402"/>
                <w:tab w:val="num" w:pos="495"/>
              </w:tabs>
              <w:suppressAutoHyphens/>
              <w:spacing w:after="60"/>
              <w:ind w:left="495" w:hanging="425"/>
              <w:rPr>
                <w:rFonts w:ascii="Cambria" w:hAnsi="Cambria"/>
                <w:sz w:val="20"/>
              </w:rPr>
            </w:pPr>
            <w:r w:rsidRPr="004B52CE">
              <w:rPr>
                <w:rFonts w:ascii="Cambria" w:hAnsi="Cambria"/>
                <w:sz w:val="20"/>
              </w:rPr>
              <w:t>możliwość rozbudowy i modernizacji istniejących budynków, po uzgodnieniu ze służbami ochrony zabytków,</w:t>
            </w:r>
          </w:p>
          <w:p w14:paraId="744AE9FC" w14:textId="77777777" w:rsidR="005E2D4B" w:rsidRPr="004B52CE" w:rsidRDefault="005E2D4B" w:rsidP="00457CED">
            <w:pPr>
              <w:pStyle w:val="Tekstpodstawowy"/>
              <w:numPr>
                <w:ilvl w:val="0"/>
                <w:numId w:val="10"/>
              </w:numPr>
              <w:tabs>
                <w:tab w:val="clear" w:pos="360"/>
                <w:tab w:val="right" w:pos="-3402"/>
                <w:tab w:val="num" w:pos="495"/>
              </w:tabs>
              <w:suppressAutoHyphens/>
              <w:spacing w:after="60"/>
              <w:ind w:left="495" w:hanging="425"/>
              <w:rPr>
                <w:rFonts w:ascii="Cambria" w:hAnsi="Cambria"/>
                <w:sz w:val="20"/>
              </w:rPr>
            </w:pPr>
            <w:r w:rsidRPr="004B52CE">
              <w:rPr>
                <w:rFonts w:ascii="Cambria" w:hAnsi="Cambria"/>
                <w:sz w:val="20"/>
              </w:rPr>
              <w:t>obsługę komunikacyjną od ulicy Dworskiej oznaczonej symbolem 02KZ oraz za pośrednictwem ciągu pieszo-jezdnego oznaczonego symbolem KJ, na przedłużeniu ulicy Kasztanowej,</w:t>
            </w:r>
          </w:p>
          <w:p w14:paraId="78FF520B" w14:textId="77777777" w:rsidR="005E2D4B" w:rsidRPr="004B52CE" w:rsidRDefault="005E2D4B" w:rsidP="00457CED">
            <w:pPr>
              <w:pStyle w:val="Tekstpodstawowy"/>
              <w:numPr>
                <w:ilvl w:val="0"/>
                <w:numId w:val="10"/>
              </w:numPr>
              <w:tabs>
                <w:tab w:val="clear" w:pos="360"/>
                <w:tab w:val="right" w:pos="-3402"/>
                <w:tab w:val="num" w:pos="495"/>
              </w:tabs>
              <w:suppressAutoHyphens/>
              <w:spacing w:after="60"/>
              <w:ind w:left="495" w:hanging="425"/>
              <w:rPr>
                <w:rFonts w:ascii="Cambria" w:hAnsi="Cambria"/>
                <w:sz w:val="20"/>
              </w:rPr>
            </w:pPr>
            <w:r w:rsidRPr="004B52CE">
              <w:rPr>
                <w:rFonts w:ascii="Cambria" w:hAnsi="Cambria"/>
                <w:sz w:val="20"/>
              </w:rPr>
              <w:t>pokrycie potrzeb parkingowych dla użytkowników obiektów w zachodniej części terenu wzdłuż ul. Dworskiej poza granicą zabytkowego Parku Belzackiego.”,</w:t>
            </w:r>
          </w:p>
          <w:p w14:paraId="75FB669B" w14:textId="77777777" w:rsidR="005E2D4B" w:rsidRPr="004B52CE" w:rsidRDefault="00DC00E9" w:rsidP="00457CED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4B52CE">
              <w:rPr>
                <w:rFonts w:ascii="Cambria" w:hAnsi="Cambria" w:cs="Arial"/>
                <w:sz w:val="20"/>
                <w:szCs w:val="20"/>
              </w:rPr>
              <w:t>zastępuje się:</w:t>
            </w:r>
          </w:p>
          <w:p w14:paraId="489C36D4" w14:textId="77777777" w:rsidR="005E2D4B" w:rsidRPr="004B52CE" w:rsidRDefault="005E2D4B" w:rsidP="00457CED">
            <w:pPr>
              <w:pStyle w:val="Tekstpodstawowy"/>
              <w:tabs>
                <w:tab w:val="right" w:pos="-2835"/>
              </w:tabs>
              <w:suppressAutoHyphens/>
              <w:spacing w:after="60"/>
              <w:rPr>
                <w:rFonts w:ascii="Cambria" w:hAnsi="Cambria"/>
                <w:sz w:val="20"/>
              </w:rPr>
            </w:pPr>
            <w:r w:rsidRPr="004B52CE">
              <w:rPr>
                <w:rFonts w:ascii="Cambria" w:hAnsi="Cambria"/>
                <w:sz w:val="20"/>
              </w:rPr>
              <w:t xml:space="preserve">„Dla istniejących obiektów, dla których dopuszcza się </w:t>
            </w:r>
            <w:r w:rsidR="004B52CE" w:rsidRPr="004B52CE">
              <w:rPr>
                <w:rFonts w:ascii="Cambria" w:hAnsi="Cambria"/>
                <w:sz w:val="20"/>
              </w:rPr>
              <w:t>funkcje usług oświaty, kultury, gastronomii i administracji</w:t>
            </w:r>
            <w:r w:rsidRPr="004B52CE">
              <w:rPr>
                <w:rFonts w:ascii="Cambria" w:hAnsi="Cambria"/>
                <w:sz w:val="20"/>
              </w:rPr>
              <w:t xml:space="preserve"> ustala się:</w:t>
            </w:r>
          </w:p>
          <w:p w14:paraId="2BF039DC" w14:textId="77777777" w:rsidR="005E2D4B" w:rsidRPr="004B52CE" w:rsidRDefault="005E2D4B" w:rsidP="00457CED">
            <w:pPr>
              <w:pStyle w:val="Tekstpodstawowy"/>
              <w:numPr>
                <w:ilvl w:val="0"/>
                <w:numId w:val="11"/>
              </w:numPr>
              <w:tabs>
                <w:tab w:val="clear" w:pos="360"/>
                <w:tab w:val="right" w:pos="-3402"/>
              </w:tabs>
              <w:suppressAutoHyphens/>
              <w:spacing w:after="60"/>
              <w:ind w:left="495" w:hanging="425"/>
              <w:rPr>
                <w:rFonts w:ascii="Cambria" w:hAnsi="Cambria"/>
                <w:sz w:val="20"/>
              </w:rPr>
            </w:pPr>
            <w:r w:rsidRPr="004B52CE">
              <w:rPr>
                <w:rFonts w:ascii="Cambria" w:hAnsi="Cambria"/>
                <w:sz w:val="20"/>
              </w:rPr>
              <w:t>możliwość rozbudowy i modernizacji istniejących budynków, po uzgodnieniu ze służbami ochrony zabytków,</w:t>
            </w:r>
          </w:p>
          <w:p w14:paraId="39E87467" w14:textId="77777777" w:rsidR="005E2D4B" w:rsidRPr="004B52CE" w:rsidRDefault="005E2D4B" w:rsidP="00457CED">
            <w:pPr>
              <w:pStyle w:val="Tekstpodstawowy"/>
              <w:numPr>
                <w:ilvl w:val="0"/>
                <w:numId w:val="11"/>
              </w:numPr>
              <w:tabs>
                <w:tab w:val="clear" w:pos="360"/>
                <w:tab w:val="right" w:pos="-3402"/>
                <w:tab w:val="num" w:pos="495"/>
              </w:tabs>
              <w:suppressAutoHyphens/>
              <w:spacing w:after="60"/>
              <w:ind w:left="495" w:hanging="425"/>
              <w:rPr>
                <w:rFonts w:ascii="Cambria" w:hAnsi="Cambria"/>
                <w:sz w:val="20"/>
              </w:rPr>
            </w:pPr>
            <w:r w:rsidRPr="004B52CE">
              <w:rPr>
                <w:rFonts w:ascii="Cambria" w:hAnsi="Cambria"/>
                <w:sz w:val="20"/>
              </w:rPr>
              <w:t>obsługę komunikacyjną od ulicy Dworskiej oznaczonej symbolem 02KZ oraz za pośrednictwem ciągu pieszo-jezdnego oznaczonego symbolem KJ, na przedłużeniu ulicy Kasztanowej,</w:t>
            </w:r>
          </w:p>
          <w:p w14:paraId="25C67833" w14:textId="77777777" w:rsidR="005E2D4B" w:rsidRPr="004B52CE" w:rsidRDefault="005E2D4B" w:rsidP="00457CED">
            <w:pPr>
              <w:pStyle w:val="Tekstpodstawowy"/>
              <w:numPr>
                <w:ilvl w:val="0"/>
                <w:numId w:val="11"/>
              </w:numPr>
              <w:tabs>
                <w:tab w:val="clear" w:pos="360"/>
                <w:tab w:val="right" w:pos="-3402"/>
                <w:tab w:val="num" w:pos="495"/>
              </w:tabs>
              <w:suppressAutoHyphens/>
              <w:spacing w:after="60"/>
              <w:ind w:left="495" w:hanging="425"/>
              <w:rPr>
                <w:rFonts w:ascii="Cambria" w:hAnsi="Cambria" w:cs="Arial"/>
                <w:sz w:val="20"/>
              </w:rPr>
            </w:pPr>
            <w:r w:rsidRPr="004B52CE">
              <w:rPr>
                <w:rFonts w:ascii="Cambria" w:hAnsi="Cambria"/>
                <w:sz w:val="20"/>
              </w:rPr>
              <w:t>pokrycie potrzeb parkingowych dla użytkowników obiektów w zachodniej części terenu wzdłuż ul. Dworskiej poza granicą zabytkowego Parku Belzackiego.”</w:t>
            </w:r>
          </w:p>
          <w:p w14:paraId="49FDFBC4" w14:textId="77777777" w:rsidR="00A02AFA" w:rsidRPr="000B0C05" w:rsidRDefault="009A4874" w:rsidP="00457CED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Wprowadzenie możliwości realizacji usług kultury, gastronomii czy administracji (obecnie istniejące) ma na celu zwiększenie atrakcyjności i funkcjonalności </w:t>
            </w:r>
            <w:r w:rsidR="000A38FB">
              <w:rPr>
                <w:rFonts w:ascii="Cambria" w:hAnsi="Cambria" w:cs="Arial"/>
                <w:sz w:val="20"/>
                <w:szCs w:val="20"/>
              </w:rPr>
              <w:t xml:space="preserve">istniejących budynków zlokalizowanych na terenie </w:t>
            </w:r>
            <w:r>
              <w:rPr>
                <w:rFonts w:ascii="Cambria" w:hAnsi="Cambria" w:cs="Arial"/>
                <w:sz w:val="20"/>
                <w:szCs w:val="20"/>
              </w:rPr>
              <w:t xml:space="preserve">Parku Belzackiego. </w:t>
            </w:r>
            <w:r>
              <w:rPr>
                <w:rFonts w:ascii="Cambria" w:hAnsi="Cambria" w:cs="Arial"/>
                <w:sz w:val="20"/>
                <w:szCs w:val="20"/>
              </w:rPr>
              <w:lastRenderedPageBreak/>
              <w:t xml:space="preserve">Zmiana planu nie umożliwia realizacji nowej zabudowy, a nowe funkcję mogą być wprowadzone wyłącznie w istniejących budynkach. Projektowana zmiana jest </w:t>
            </w:r>
            <w:r w:rsidRPr="000B0C05">
              <w:rPr>
                <w:rFonts w:ascii="Cambria" w:hAnsi="Cambria" w:cs="Arial"/>
                <w:sz w:val="20"/>
                <w:szCs w:val="20"/>
              </w:rPr>
              <w:t>zgodna z obowiązującym Studium uwarunkowań i kierunków zagospodarowania przestrzennego miasta Piotrkowa Trybunalskiego, które w terenach zieleni p</w:t>
            </w:r>
            <w:r w:rsidR="000B0C05" w:rsidRPr="000B0C05">
              <w:rPr>
                <w:rFonts w:ascii="Cambria" w:hAnsi="Cambria" w:cs="Arial"/>
                <w:sz w:val="20"/>
                <w:szCs w:val="20"/>
              </w:rPr>
              <w:t>arkowej dopuszcza funkcje towarzyszące w postaci usług podstawowych np. obiektów gastronomicznych.</w:t>
            </w:r>
          </w:p>
        </w:tc>
      </w:tr>
      <w:tr w:rsidR="00CE1D14" w:rsidRPr="00143E5F" w14:paraId="2218EA3E" w14:textId="77777777" w:rsidTr="005B1010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5357" w:type="dxa"/>
          </w:tcPr>
          <w:p w14:paraId="1F54AB7F" w14:textId="77777777" w:rsidR="00CE1D14" w:rsidRPr="001670D6" w:rsidRDefault="00CE1D14" w:rsidP="009A1050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670D6">
              <w:rPr>
                <w:rFonts w:ascii="Cambria" w:hAnsi="Cambria" w:cs="Arial"/>
                <w:sz w:val="20"/>
                <w:szCs w:val="20"/>
              </w:rPr>
              <w:lastRenderedPageBreak/>
              <w:t>Art. 1, ust. 2, p. 1</w:t>
            </w:r>
            <w:r>
              <w:rPr>
                <w:rFonts w:ascii="Cambria" w:hAnsi="Cambria" w:cs="Arial"/>
                <w:sz w:val="20"/>
                <w:szCs w:val="20"/>
              </w:rPr>
              <w:t>a</w:t>
            </w:r>
            <w:r w:rsidRPr="001670D6">
              <w:rPr>
                <w:rFonts w:ascii="Cambria" w:hAnsi="Cambria" w:cs="Arial"/>
                <w:sz w:val="20"/>
                <w:szCs w:val="20"/>
              </w:rPr>
              <w:t>)</w:t>
            </w:r>
          </w:p>
          <w:p w14:paraId="0E43E375" w14:textId="77777777" w:rsidR="00CE1D14" w:rsidRPr="00143E5F" w:rsidRDefault="00CE1D14" w:rsidP="009A1050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potrzeby zrównoważonego rozwoju</w:t>
            </w:r>
            <w:r w:rsidRPr="001670D6">
              <w:rPr>
                <w:rFonts w:ascii="Cambria" w:hAnsi="Cambria" w:cs="Arial"/>
                <w:sz w:val="20"/>
                <w:szCs w:val="20"/>
              </w:rPr>
              <w:t>;</w:t>
            </w:r>
          </w:p>
        </w:tc>
        <w:tc>
          <w:tcPr>
            <w:tcW w:w="10018" w:type="dxa"/>
          </w:tcPr>
          <w:p w14:paraId="5D79BB72" w14:textId="77777777" w:rsidR="00CE1D14" w:rsidRPr="000B7C61" w:rsidRDefault="00CE1D14" w:rsidP="009A1050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0B7C61">
              <w:rPr>
                <w:rFonts w:ascii="Cambria" w:hAnsi="Cambria" w:cs="Arial"/>
                <w:sz w:val="20"/>
                <w:szCs w:val="20"/>
              </w:rPr>
              <w:t xml:space="preserve">Zmiana planu </w:t>
            </w:r>
            <w:r w:rsidR="005B1010" w:rsidRPr="000B7C61">
              <w:rPr>
                <w:rFonts w:ascii="Cambria" w:hAnsi="Cambria" w:cs="Arial"/>
                <w:sz w:val="20"/>
                <w:szCs w:val="20"/>
              </w:rPr>
              <w:t xml:space="preserve">ma na celu zwiększenie atrakcyjności i funkcjonalności </w:t>
            </w:r>
            <w:r w:rsidR="000A38FB">
              <w:rPr>
                <w:rFonts w:ascii="Cambria" w:hAnsi="Cambria" w:cs="Arial"/>
                <w:sz w:val="20"/>
                <w:szCs w:val="20"/>
              </w:rPr>
              <w:t>istniejących budynków zlokalizowanych na terenie</w:t>
            </w:r>
            <w:r w:rsidR="000A38FB" w:rsidRPr="000B7C61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5B1010" w:rsidRPr="000B7C61">
              <w:rPr>
                <w:rFonts w:ascii="Cambria" w:hAnsi="Cambria" w:cs="Arial"/>
                <w:sz w:val="20"/>
                <w:szCs w:val="20"/>
              </w:rPr>
              <w:t>Parku Belzackiego, bez możliwości realizacji nowej zabudowy, w związku z czym nie będzie mieć wpływu na zasady zrównoważonego rozwoju</w:t>
            </w:r>
            <w:r w:rsidR="000E5AA8">
              <w:rPr>
                <w:rFonts w:ascii="Cambria" w:hAnsi="Cambria" w:cs="Arial"/>
                <w:sz w:val="20"/>
                <w:szCs w:val="20"/>
              </w:rPr>
              <w:t>.</w:t>
            </w:r>
          </w:p>
        </w:tc>
      </w:tr>
      <w:tr w:rsidR="00CE1D14" w:rsidRPr="00143E5F" w14:paraId="1D3483CE" w14:textId="77777777" w:rsidTr="00457CED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5357" w:type="dxa"/>
          </w:tcPr>
          <w:p w14:paraId="30DF2098" w14:textId="77777777" w:rsidR="00CE1D14" w:rsidRPr="001670D6" w:rsidRDefault="00CE1D14" w:rsidP="009A1050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670D6">
              <w:rPr>
                <w:rFonts w:ascii="Cambria" w:hAnsi="Cambria" w:cs="Arial"/>
                <w:sz w:val="20"/>
                <w:szCs w:val="20"/>
              </w:rPr>
              <w:t>Art. 1, ust. 2, p. 2)</w:t>
            </w:r>
          </w:p>
          <w:p w14:paraId="7AF23969" w14:textId="77777777" w:rsidR="00CE1D14" w:rsidRPr="00143E5F" w:rsidRDefault="00CE1D14" w:rsidP="009A1050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1670D6">
              <w:rPr>
                <w:rFonts w:ascii="Cambria" w:hAnsi="Cambria" w:cs="Arial"/>
                <w:sz w:val="20"/>
                <w:szCs w:val="20"/>
              </w:rPr>
              <w:t>walory architektoniczne i krajobrazowe;</w:t>
            </w:r>
          </w:p>
        </w:tc>
        <w:tc>
          <w:tcPr>
            <w:tcW w:w="10018" w:type="dxa"/>
          </w:tcPr>
          <w:p w14:paraId="39917B50" w14:textId="77777777" w:rsidR="00CE1D14" w:rsidRPr="000A1797" w:rsidRDefault="00CE1D14" w:rsidP="009A1050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0A1797">
              <w:rPr>
                <w:rFonts w:ascii="Cambria" w:hAnsi="Cambria" w:cs="Arial"/>
                <w:sz w:val="20"/>
                <w:szCs w:val="20"/>
              </w:rPr>
              <w:t xml:space="preserve">Zmiana planu </w:t>
            </w:r>
            <w:r w:rsidR="000A1797" w:rsidRPr="000A1797">
              <w:rPr>
                <w:rFonts w:ascii="Cambria" w:hAnsi="Cambria" w:cs="Arial"/>
                <w:sz w:val="20"/>
                <w:szCs w:val="20"/>
              </w:rPr>
              <w:t xml:space="preserve">nie dopuszcza realizacji nowej zabudowy, w związku z czym </w:t>
            </w:r>
            <w:r w:rsidRPr="000A1797">
              <w:rPr>
                <w:rFonts w:ascii="Cambria" w:hAnsi="Cambria" w:cs="Arial"/>
                <w:sz w:val="20"/>
                <w:szCs w:val="20"/>
              </w:rPr>
              <w:t>pozostaje bez wpływu na walory architektoniczne i krajobrazowe</w:t>
            </w:r>
            <w:r w:rsidR="000E5AA8">
              <w:rPr>
                <w:rFonts w:ascii="Cambria" w:hAnsi="Cambria" w:cs="Arial"/>
                <w:sz w:val="20"/>
                <w:szCs w:val="20"/>
              </w:rPr>
              <w:t>.</w:t>
            </w:r>
          </w:p>
        </w:tc>
      </w:tr>
      <w:tr w:rsidR="00CE1D14" w:rsidRPr="00143E5F" w14:paraId="38DE19F6" w14:textId="77777777" w:rsidTr="00457CED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5357" w:type="dxa"/>
          </w:tcPr>
          <w:p w14:paraId="02B14437" w14:textId="77777777" w:rsidR="00CE1D14" w:rsidRPr="001670D6" w:rsidRDefault="00CE1D14" w:rsidP="009A1050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670D6">
              <w:rPr>
                <w:rFonts w:ascii="Cambria" w:hAnsi="Cambria" w:cs="Arial"/>
                <w:sz w:val="20"/>
                <w:szCs w:val="20"/>
              </w:rPr>
              <w:t>Art. 1, ust. 2, p. 3)</w:t>
            </w:r>
          </w:p>
          <w:p w14:paraId="6592A54E" w14:textId="77777777" w:rsidR="00CE1D14" w:rsidRPr="00143E5F" w:rsidRDefault="00CE1D14" w:rsidP="009A1050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1670D6">
              <w:rPr>
                <w:rFonts w:ascii="Cambria" w:hAnsi="Cambria" w:cs="Arial"/>
                <w:sz w:val="20"/>
                <w:szCs w:val="20"/>
              </w:rPr>
              <w:t>wymagania ochrony środowiska, w tym gospodarowania wodami i ochrony gruntów rolnych i leśnych;</w:t>
            </w:r>
          </w:p>
        </w:tc>
        <w:tc>
          <w:tcPr>
            <w:tcW w:w="10018" w:type="dxa"/>
          </w:tcPr>
          <w:p w14:paraId="45DC8B70" w14:textId="77777777" w:rsidR="00CE1D14" w:rsidRPr="00AD04F7" w:rsidRDefault="00CE1D14" w:rsidP="009A1050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AD04F7">
              <w:rPr>
                <w:rFonts w:ascii="Cambria" w:hAnsi="Cambria" w:cs="Arial"/>
                <w:sz w:val="20"/>
                <w:szCs w:val="20"/>
              </w:rPr>
              <w:t xml:space="preserve">Bez zmian w stosunku do Uchwały nr </w:t>
            </w:r>
            <w:r w:rsidR="00AD04F7" w:rsidRPr="00AD04F7">
              <w:rPr>
                <w:rFonts w:ascii="Cambria" w:hAnsi="Cambria" w:cs="Arial"/>
                <w:sz w:val="20"/>
                <w:szCs w:val="20"/>
              </w:rPr>
              <w:t>IX</w:t>
            </w:r>
            <w:r w:rsidRPr="00AD04F7">
              <w:rPr>
                <w:rFonts w:ascii="Cambria" w:hAnsi="Cambria" w:cs="Arial"/>
                <w:sz w:val="20"/>
                <w:szCs w:val="20"/>
              </w:rPr>
              <w:t>/</w:t>
            </w:r>
            <w:r w:rsidR="00AD04F7" w:rsidRPr="00AD04F7">
              <w:rPr>
                <w:rFonts w:ascii="Cambria" w:hAnsi="Cambria" w:cs="Arial"/>
                <w:sz w:val="20"/>
                <w:szCs w:val="20"/>
              </w:rPr>
              <w:t>123</w:t>
            </w:r>
            <w:r w:rsidRPr="00AD04F7">
              <w:rPr>
                <w:rFonts w:ascii="Cambria" w:hAnsi="Cambria" w:cs="Arial"/>
                <w:sz w:val="20"/>
                <w:szCs w:val="20"/>
              </w:rPr>
              <w:t>/</w:t>
            </w:r>
            <w:r w:rsidR="00AD04F7" w:rsidRPr="00AD04F7">
              <w:rPr>
                <w:rFonts w:ascii="Cambria" w:hAnsi="Cambria" w:cs="Arial"/>
                <w:sz w:val="20"/>
                <w:szCs w:val="20"/>
              </w:rPr>
              <w:t>2003</w:t>
            </w:r>
            <w:r w:rsidRPr="00AD04F7">
              <w:rPr>
                <w:rFonts w:ascii="Cambria" w:hAnsi="Cambria" w:cs="Arial"/>
                <w:sz w:val="20"/>
                <w:szCs w:val="20"/>
              </w:rPr>
              <w:t xml:space="preserve"> Rady Miasta</w:t>
            </w:r>
            <w:r w:rsidR="00AD04F7" w:rsidRPr="00AD04F7">
              <w:rPr>
                <w:rFonts w:ascii="Cambria" w:hAnsi="Cambria" w:cs="Arial"/>
                <w:sz w:val="20"/>
                <w:szCs w:val="20"/>
              </w:rPr>
              <w:t xml:space="preserve"> w</w:t>
            </w:r>
            <w:r w:rsidRPr="00AD04F7">
              <w:rPr>
                <w:rFonts w:ascii="Cambria" w:hAnsi="Cambria" w:cs="Arial"/>
                <w:sz w:val="20"/>
                <w:szCs w:val="20"/>
              </w:rPr>
              <w:t xml:space="preserve"> Piotrko</w:t>
            </w:r>
            <w:r w:rsidR="00AD04F7" w:rsidRPr="00AD04F7">
              <w:rPr>
                <w:rFonts w:ascii="Cambria" w:hAnsi="Cambria" w:cs="Arial"/>
                <w:sz w:val="20"/>
                <w:szCs w:val="20"/>
              </w:rPr>
              <w:t>wie</w:t>
            </w:r>
            <w:r w:rsidRPr="00AD04F7">
              <w:rPr>
                <w:rFonts w:ascii="Cambria" w:hAnsi="Cambria" w:cs="Arial"/>
                <w:sz w:val="20"/>
                <w:szCs w:val="20"/>
              </w:rPr>
              <w:t xml:space="preserve"> Trybunalski</w:t>
            </w:r>
            <w:r w:rsidR="00AD04F7" w:rsidRPr="00AD04F7">
              <w:rPr>
                <w:rFonts w:ascii="Cambria" w:hAnsi="Cambria" w:cs="Arial"/>
                <w:sz w:val="20"/>
                <w:szCs w:val="20"/>
              </w:rPr>
              <w:t>m</w:t>
            </w:r>
            <w:r w:rsidRPr="00AD04F7">
              <w:rPr>
                <w:rFonts w:ascii="Cambria" w:hAnsi="Cambria" w:cs="Arial"/>
                <w:sz w:val="20"/>
                <w:szCs w:val="20"/>
              </w:rPr>
              <w:t xml:space="preserve"> z dnia </w:t>
            </w:r>
            <w:r w:rsidR="00AD04F7" w:rsidRPr="00AD04F7">
              <w:rPr>
                <w:rFonts w:ascii="Cambria" w:hAnsi="Cambria" w:cs="Arial"/>
                <w:sz w:val="20"/>
                <w:szCs w:val="20"/>
              </w:rPr>
              <w:t>30</w:t>
            </w:r>
            <w:r w:rsidRPr="00AD04F7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AD04F7" w:rsidRPr="00AD04F7">
              <w:rPr>
                <w:rFonts w:ascii="Cambria" w:hAnsi="Cambria" w:cs="Arial"/>
                <w:sz w:val="20"/>
                <w:szCs w:val="20"/>
              </w:rPr>
              <w:t>czerwca</w:t>
            </w:r>
            <w:r w:rsidRPr="00AD04F7">
              <w:rPr>
                <w:rFonts w:ascii="Cambria" w:hAnsi="Cambria" w:cs="Arial"/>
                <w:sz w:val="20"/>
                <w:szCs w:val="20"/>
              </w:rPr>
              <w:t xml:space="preserve"> 20</w:t>
            </w:r>
            <w:r w:rsidR="00AD04F7" w:rsidRPr="00AD04F7">
              <w:rPr>
                <w:rFonts w:ascii="Cambria" w:hAnsi="Cambria" w:cs="Arial"/>
                <w:sz w:val="20"/>
                <w:szCs w:val="20"/>
              </w:rPr>
              <w:t>03</w:t>
            </w:r>
            <w:r w:rsidRPr="00AD04F7">
              <w:rPr>
                <w:rFonts w:ascii="Cambria" w:hAnsi="Cambria" w:cs="Arial"/>
                <w:sz w:val="20"/>
                <w:szCs w:val="20"/>
              </w:rPr>
              <w:t xml:space="preserve"> r. </w:t>
            </w:r>
          </w:p>
        </w:tc>
      </w:tr>
      <w:tr w:rsidR="00CE1D14" w:rsidRPr="00143E5F" w14:paraId="6C1606A4" w14:textId="77777777" w:rsidTr="007107C0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5357" w:type="dxa"/>
          </w:tcPr>
          <w:p w14:paraId="3B96B6C7" w14:textId="77777777" w:rsidR="00CE1D14" w:rsidRPr="001670D6" w:rsidRDefault="00CE1D14" w:rsidP="009A1050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670D6">
              <w:rPr>
                <w:rFonts w:ascii="Cambria" w:hAnsi="Cambria" w:cs="Arial"/>
                <w:sz w:val="20"/>
                <w:szCs w:val="20"/>
              </w:rPr>
              <w:t>Art. 1, ust. 2, p. 4)</w:t>
            </w:r>
          </w:p>
          <w:p w14:paraId="1FEEC3EA" w14:textId="77777777" w:rsidR="00CE1D14" w:rsidRPr="00143E5F" w:rsidRDefault="00CE1D14" w:rsidP="009A1050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1670D6">
              <w:rPr>
                <w:rFonts w:ascii="Cambria" w:hAnsi="Cambria" w:cs="Arial"/>
                <w:sz w:val="20"/>
                <w:szCs w:val="20"/>
              </w:rPr>
              <w:t>wymagania ochrony dziedzictwa kulturowego i zabytków oraz dóbr kultury współczesnej;</w:t>
            </w:r>
          </w:p>
        </w:tc>
        <w:tc>
          <w:tcPr>
            <w:tcW w:w="10018" w:type="dxa"/>
          </w:tcPr>
          <w:p w14:paraId="25DEB6C2" w14:textId="77777777" w:rsidR="00CE1D14" w:rsidRPr="00143E5F" w:rsidRDefault="00AD04F7" w:rsidP="009A1050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AD04F7">
              <w:rPr>
                <w:rFonts w:ascii="Cambria" w:hAnsi="Cambria" w:cs="Arial"/>
                <w:sz w:val="20"/>
                <w:szCs w:val="20"/>
              </w:rPr>
              <w:t>Bez zmian w stosunku do Uchwały nr IX/123/2003 Rady Miasta w Piotrkowie Trybunalskim z dnia 30 czerwca 2003 r.</w:t>
            </w:r>
          </w:p>
        </w:tc>
      </w:tr>
      <w:tr w:rsidR="00CE1D14" w:rsidRPr="00143E5F" w14:paraId="709682A2" w14:textId="77777777" w:rsidTr="007107C0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5357" w:type="dxa"/>
          </w:tcPr>
          <w:p w14:paraId="2409BD70" w14:textId="77777777" w:rsidR="00CE1D14" w:rsidRPr="001670D6" w:rsidRDefault="00CE1D14" w:rsidP="009A1050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670D6">
              <w:rPr>
                <w:rFonts w:ascii="Cambria" w:hAnsi="Cambria" w:cs="Arial"/>
                <w:sz w:val="20"/>
                <w:szCs w:val="20"/>
              </w:rPr>
              <w:t>Art. 1, ust. 2, p. 5)</w:t>
            </w:r>
          </w:p>
          <w:p w14:paraId="24B52EE8" w14:textId="77777777" w:rsidR="00CE1D14" w:rsidRPr="00143E5F" w:rsidRDefault="00CE1D14" w:rsidP="009A1050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1670D6">
              <w:rPr>
                <w:rFonts w:ascii="Cambria" w:hAnsi="Cambria" w:cs="Arial"/>
                <w:sz w:val="20"/>
                <w:szCs w:val="20"/>
              </w:rPr>
              <w:t xml:space="preserve">wymagania ochrony zdrowia oraz bezpieczeństwa ludzi i mienia, a także potrzeby osób </w:t>
            </w:r>
            <w:r>
              <w:rPr>
                <w:rFonts w:ascii="Cambria" w:hAnsi="Cambria" w:cs="Arial"/>
                <w:sz w:val="20"/>
                <w:szCs w:val="20"/>
              </w:rPr>
              <w:t>ze szczególnymi potrzebami (uniwersalne projektowanie)</w:t>
            </w:r>
            <w:r w:rsidRPr="001670D6">
              <w:rPr>
                <w:rFonts w:ascii="Cambria" w:hAnsi="Cambria" w:cs="Arial"/>
                <w:sz w:val="20"/>
                <w:szCs w:val="20"/>
              </w:rPr>
              <w:t>;</w:t>
            </w:r>
          </w:p>
        </w:tc>
        <w:tc>
          <w:tcPr>
            <w:tcW w:w="10018" w:type="dxa"/>
          </w:tcPr>
          <w:p w14:paraId="55D53D1E" w14:textId="77777777" w:rsidR="00CE1D14" w:rsidRPr="00143E5F" w:rsidRDefault="00AD04F7" w:rsidP="009A1050">
            <w:pPr>
              <w:rPr>
                <w:color w:val="FF0000"/>
              </w:rPr>
            </w:pPr>
            <w:r w:rsidRPr="00AD04F7">
              <w:rPr>
                <w:rFonts w:ascii="Cambria" w:hAnsi="Cambria" w:cs="Arial"/>
                <w:sz w:val="20"/>
                <w:szCs w:val="20"/>
              </w:rPr>
              <w:t>Bez zmian w stosunku do Uchwały nr IX/123/2003 Rady Miasta w Piotrkowie Trybunalskim z dnia 30 czerwca 2003 r.</w:t>
            </w:r>
          </w:p>
        </w:tc>
      </w:tr>
      <w:tr w:rsidR="00CE1D14" w:rsidRPr="00143E5F" w14:paraId="139E3137" w14:textId="77777777" w:rsidTr="007107C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357" w:type="dxa"/>
          </w:tcPr>
          <w:p w14:paraId="591E7FC7" w14:textId="77777777" w:rsidR="00CE1D14" w:rsidRPr="00E466E8" w:rsidRDefault="00CE1D14" w:rsidP="009A1050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466E8">
              <w:rPr>
                <w:rFonts w:ascii="Cambria" w:hAnsi="Cambria" w:cs="Arial"/>
                <w:sz w:val="20"/>
                <w:szCs w:val="20"/>
              </w:rPr>
              <w:t>Art. 1, ust. 2, p. 6)</w:t>
            </w:r>
          </w:p>
          <w:p w14:paraId="0218EA1C" w14:textId="77777777" w:rsidR="00CE1D14" w:rsidRPr="00143E5F" w:rsidRDefault="00CE1D14" w:rsidP="009A1050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E466E8">
              <w:rPr>
                <w:rFonts w:ascii="Cambria" w:hAnsi="Cambria" w:cs="Arial"/>
                <w:sz w:val="20"/>
                <w:szCs w:val="20"/>
              </w:rPr>
              <w:t>walory ekonomiczne przestrzeni;</w:t>
            </w:r>
          </w:p>
        </w:tc>
        <w:tc>
          <w:tcPr>
            <w:tcW w:w="10018" w:type="dxa"/>
          </w:tcPr>
          <w:p w14:paraId="10D9EE78" w14:textId="77777777" w:rsidR="00CE1D14" w:rsidRPr="00E3400B" w:rsidRDefault="00E3400B" w:rsidP="009A1050">
            <w:pPr>
              <w:spacing w:line="240" w:lineRule="auto"/>
            </w:pPr>
            <w:r w:rsidRPr="00E3400B">
              <w:rPr>
                <w:rFonts w:ascii="Cambria" w:hAnsi="Cambria" w:cs="Arial"/>
                <w:sz w:val="20"/>
                <w:szCs w:val="20"/>
              </w:rPr>
              <w:t>Wprowadzenie możliwości realizacji nowych usług, towarzyszących funkcji podstawowej, zwiększy walory ekonomiczne istniejącego Parku Belzackiego.</w:t>
            </w:r>
          </w:p>
        </w:tc>
      </w:tr>
      <w:tr w:rsidR="00CE1D14" w:rsidRPr="00143E5F" w14:paraId="46E7486B" w14:textId="77777777" w:rsidTr="009A1050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5357" w:type="dxa"/>
          </w:tcPr>
          <w:p w14:paraId="36D2B744" w14:textId="77777777" w:rsidR="00CE1D14" w:rsidRPr="00E466E8" w:rsidRDefault="00CE1D14" w:rsidP="009A1050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466E8">
              <w:rPr>
                <w:rFonts w:ascii="Cambria" w:hAnsi="Cambria" w:cs="Arial"/>
                <w:sz w:val="20"/>
                <w:szCs w:val="20"/>
              </w:rPr>
              <w:t>Art. 1, ust. 2, p. 7)</w:t>
            </w:r>
          </w:p>
          <w:p w14:paraId="4CCD6C97" w14:textId="77777777" w:rsidR="00CE1D14" w:rsidRPr="00143E5F" w:rsidRDefault="00CE1D14" w:rsidP="009A1050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E466E8">
              <w:rPr>
                <w:rFonts w:ascii="Cambria" w:hAnsi="Cambria" w:cs="Arial"/>
                <w:sz w:val="20"/>
                <w:szCs w:val="20"/>
              </w:rPr>
              <w:t>prawo własności;</w:t>
            </w:r>
          </w:p>
        </w:tc>
        <w:tc>
          <w:tcPr>
            <w:tcW w:w="10018" w:type="dxa"/>
          </w:tcPr>
          <w:p w14:paraId="7FCBC23B" w14:textId="77777777" w:rsidR="00CE1D14" w:rsidRPr="00143E5F" w:rsidRDefault="00DE4285" w:rsidP="009A1050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AD04F7">
              <w:rPr>
                <w:rFonts w:ascii="Cambria" w:hAnsi="Cambria" w:cs="Arial"/>
                <w:sz w:val="20"/>
                <w:szCs w:val="20"/>
              </w:rPr>
              <w:t>Bez zmian w stosunku do Uchwały nr IX/123/2003 Rady Miasta w Piotrkowie Trybunalskim z dnia 30 czerwca 2003 r.</w:t>
            </w:r>
          </w:p>
        </w:tc>
      </w:tr>
      <w:tr w:rsidR="00CE1D14" w:rsidRPr="00143E5F" w14:paraId="339F0F63" w14:textId="77777777" w:rsidTr="009A105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357" w:type="dxa"/>
          </w:tcPr>
          <w:p w14:paraId="31D21BCC" w14:textId="77777777" w:rsidR="00CE1D14" w:rsidRPr="00E466E8" w:rsidRDefault="00CE1D14" w:rsidP="009A1050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466E8">
              <w:rPr>
                <w:rFonts w:ascii="Cambria" w:hAnsi="Cambria" w:cs="Arial"/>
                <w:sz w:val="20"/>
                <w:szCs w:val="20"/>
              </w:rPr>
              <w:t xml:space="preserve">Art. 1, ust. 2, p. 8)  </w:t>
            </w:r>
          </w:p>
          <w:p w14:paraId="64811C4D" w14:textId="77777777" w:rsidR="00CE1D14" w:rsidRPr="00143E5F" w:rsidRDefault="00CE1D14" w:rsidP="009A1050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E466E8">
              <w:rPr>
                <w:rFonts w:ascii="Cambria" w:hAnsi="Cambria" w:cs="Arial"/>
                <w:sz w:val="20"/>
                <w:szCs w:val="20"/>
              </w:rPr>
              <w:t>potrzeby obronności i bezpieczeństwa państwa;</w:t>
            </w:r>
          </w:p>
        </w:tc>
        <w:tc>
          <w:tcPr>
            <w:tcW w:w="10018" w:type="dxa"/>
          </w:tcPr>
          <w:p w14:paraId="4827A2D8" w14:textId="77777777" w:rsidR="00CE1D14" w:rsidRPr="00143E5F" w:rsidRDefault="00DE4285" w:rsidP="009A1050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AD04F7">
              <w:rPr>
                <w:rFonts w:ascii="Cambria" w:hAnsi="Cambria" w:cs="Arial"/>
                <w:sz w:val="20"/>
                <w:szCs w:val="20"/>
              </w:rPr>
              <w:t>Bez zmian w stosunku do Uchwały nr IX/123/2003 Rady Miasta w Piotrkowie Trybunalskim z dnia 30 czerwca 2003 r.</w:t>
            </w:r>
          </w:p>
        </w:tc>
      </w:tr>
      <w:tr w:rsidR="00CE1D14" w:rsidRPr="00143E5F" w14:paraId="1C74FA8C" w14:textId="77777777" w:rsidTr="00CC063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357" w:type="dxa"/>
          </w:tcPr>
          <w:p w14:paraId="781E1769" w14:textId="77777777" w:rsidR="00CE1D14" w:rsidRPr="007D30A4" w:rsidRDefault="00CE1D14" w:rsidP="009A1050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7D30A4">
              <w:rPr>
                <w:rFonts w:ascii="Cambria" w:hAnsi="Cambria" w:cs="Arial"/>
                <w:sz w:val="20"/>
                <w:szCs w:val="20"/>
              </w:rPr>
              <w:t>Art. 1, ust. 2, p. 9)</w:t>
            </w:r>
          </w:p>
          <w:p w14:paraId="35751E2B" w14:textId="77777777" w:rsidR="00CE1D14" w:rsidRPr="00143E5F" w:rsidRDefault="00CE1D14" w:rsidP="009A1050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7D30A4">
              <w:rPr>
                <w:rFonts w:ascii="Cambria" w:hAnsi="Cambria" w:cs="Arial"/>
                <w:sz w:val="20"/>
                <w:szCs w:val="20"/>
              </w:rPr>
              <w:t>potrzeby interesu publicznego;</w:t>
            </w:r>
          </w:p>
        </w:tc>
        <w:tc>
          <w:tcPr>
            <w:tcW w:w="10018" w:type="dxa"/>
          </w:tcPr>
          <w:p w14:paraId="69131762" w14:textId="77777777" w:rsidR="00CE1D14" w:rsidRPr="00E60519" w:rsidRDefault="00E60519" w:rsidP="009A1050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60519">
              <w:rPr>
                <w:rFonts w:ascii="Cambria" w:hAnsi="Cambria" w:cs="Arial"/>
                <w:sz w:val="20"/>
                <w:szCs w:val="20"/>
              </w:rPr>
              <w:t>Projektowana zmiana realizuje potrzeby interesu publicznego, gdyż ma na celu zwiększenie atrakcyjności i</w:t>
            </w:r>
            <w:r w:rsidR="00594DA3">
              <w:rPr>
                <w:rFonts w:ascii="Cambria" w:hAnsi="Cambria" w:cs="Arial"/>
                <w:sz w:val="20"/>
                <w:szCs w:val="20"/>
              </w:rPr>
              <w:t> </w:t>
            </w:r>
            <w:r w:rsidRPr="00E60519">
              <w:rPr>
                <w:rFonts w:ascii="Cambria" w:hAnsi="Cambria" w:cs="Arial"/>
                <w:sz w:val="20"/>
                <w:szCs w:val="20"/>
              </w:rPr>
              <w:t>funkcjonalności Parku Belzackiego dla mieszkańców miasta.</w:t>
            </w:r>
          </w:p>
        </w:tc>
      </w:tr>
      <w:tr w:rsidR="00CE1D14" w:rsidRPr="00143E5F" w14:paraId="65A473CE" w14:textId="77777777" w:rsidTr="009A105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57" w:type="dxa"/>
          </w:tcPr>
          <w:p w14:paraId="4EBC8E92" w14:textId="77777777" w:rsidR="00CE1D14" w:rsidRPr="007D30A4" w:rsidRDefault="00CE1D14" w:rsidP="009A1050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7D30A4">
              <w:rPr>
                <w:rFonts w:ascii="Cambria" w:hAnsi="Cambria" w:cs="Arial"/>
                <w:sz w:val="20"/>
                <w:szCs w:val="20"/>
              </w:rPr>
              <w:t>Art. 1, ust. 2, p. 10)</w:t>
            </w:r>
          </w:p>
          <w:p w14:paraId="32B65C58" w14:textId="77777777" w:rsidR="00CE1D14" w:rsidRPr="00143E5F" w:rsidRDefault="00CE1D14" w:rsidP="009A1050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7D30A4">
              <w:rPr>
                <w:rFonts w:ascii="Cambria" w:hAnsi="Cambria" w:cs="Arial"/>
                <w:sz w:val="20"/>
                <w:szCs w:val="20"/>
              </w:rPr>
              <w:t>potrzeby w zakresie rozwoju infrastruktury technicznej, w szczególności sieci szerokopasmowych;</w:t>
            </w:r>
          </w:p>
        </w:tc>
        <w:tc>
          <w:tcPr>
            <w:tcW w:w="10018" w:type="dxa"/>
          </w:tcPr>
          <w:p w14:paraId="190165A0" w14:textId="77777777" w:rsidR="00CE1D14" w:rsidRPr="00143E5F" w:rsidRDefault="00126FB9" w:rsidP="00CE1D14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AD04F7">
              <w:rPr>
                <w:rFonts w:ascii="Cambria" w:hAnsi="Cambria" w:cs="Arial"/>
                <w:sz w:val="20"/>
                <w:szCs w:val="20"/>
              </w:rPr>
              <w:t>Bez zmian w stosunku do Uchwały nr IX/123/2003 Rady Miasta w Piotrkowie Trybunalskim z dnia 30 czerwca 2003 r.</w:t>
            </w:r>
          </w:p>
        </w:tc>
      </w:tr>
      <w:tr w:rsidR="00CE1D14" w:rsidRPr="00143E5F" w14:paraId="5E3DEF7A" w14:textId="77777777" w:rsidTr="009A1050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5357" w:type="dxa"/>
          </w:tcPr>
          <w:p w14:paraId="70FB8704" w14:textId="77777777" w:rsidR="00CE1D14" w:rsidRPr="007D30A4" w:rsidRDefault="00CE1D14" w:rsidP="009A1050">
            <w:pPr>
              <w:spacing w:before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7D30A4">
              <w:rPr>
                <w:rFonts w:ascii="Cambria" w:hAnsi="Cambria" w:cs="Arial"/>
                <w:sz w:val="20"/>
                <w:szCs w:val="20"/>
              </w:rPr>
              <w:t>Art. 1, ust. 2, p. 11)</w:t>
            </w:r>
          </w:p>
          <w:p w14:paraId="7C7794D8" w14:textId="77777777" w:rsidR="00CE1D14" w:rsidRPr="00143E5F" w:rsidRDefault="00CE1D14" w:rsidP="009A1050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7D30A4">
              <w:rPr>
                <w:rFonts w:ascii="Cambria" w:hAnsi="Cambria" w:cs="Arial"/>
                <w:sz w:val="20"/>
                <w:szCs w:val="20"/>
              </w:rPr>
              <w:t>zapewnienie udziału społeczeństwa w pracach nad sporządzaniem aktów planowania przestrzennego, w tym przy użyciu środków komunikacji elektronicznej;</w:t>
            </w:r>
          </w:p>
        </w:tc>
        <w:tc>
          <w:tcPr>
            <w:tcW w:w="10018" w:type="dxa"/>
          </w:tcPr>
          <w:p w14:paraId="12960DFE" w14:textId="77777777" w:rsidR="00CE1D14" w:rsidRPr="006238D9" w:rsidRDefault="00CE1D14" w:rsidP="00CE1D14">
            <w:pPr>
              <w:spacing w:before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457CED">
              <w:rPr>
                <w:rFonts w:ascii="Cambria" w:hAnsi="Cambria" w:cs="Arial"/>
                <w:sz w:val="20"/>
                <w:szCs w:val="20"/>
              </w:rPr>
              <w:t>O</w:t>
            </w:r>
            <w:r w:rsidR="00E9480A" w:rsidRPr="00457CED">
              <w:rPr>
                <w:rFonts w:ascii="Cambria" w:hAnsi="Cambria" w:cs="Arial"/>
                <w:sz w:val="20"/>
                <w:szCs w:val="20"/>
              </w:rPr>
              <w:t>bwieszczenie</w:t>
            </w:r>
            <w:r w:rsidRPr="00457CED">
              <w:rPr>
                <w:rFonts w:ascii="Cambria" w:hAnsi="Cambria" w:cs="Arial"/>
                <w:sz w:val="20"/>
                <w:szCs w:val="20"/>
              </w:rPr>
              <w:t xml:space="preserve"> w prasie lokalnej, poprzez wywieszenie na tablicach ogłoszeń o podjęciu uchwały o przystąpieniu do </w:t>
            </w:r>
            <w:r w:rsidRPr="006238D9">
              <w:rPr>
                <w:rFonts w:ascii="Cambria" w:hAnsi="Cambria" w:cs="Arial"/>
                <w:sz w:val="20"/>
                <w:szCs w:val="20"/>
              </w:rPr>
              <w:t>sporządzania zmiany planu miejscowego</w:t>
            </w:r>
            <w:r w:rsidR="00E9480A" w:rsidRPr="006238D9">
              <w:rPr>
                <w:rFonts w:ascii="Cambria" w:hAnsi="Cambria" w:cs="Arial"/>
                <w:sz w:val="20"/>
                <w:szCs w:val="20"/>
              </w:rPr>
              <w:t xml:space="preserve"> z zastosowaniem postępowania uproszczonego</w:t>
            </w:r>
            <w:r w:rsidRPr="006238D9">
              <w:rPr>
                <w:rFonts w:ascii="Cambria" w:hAnsi="Cambria" w:cs="Arial"/>
                <w:sz w:val="20"/>
                <w:szCs w:val="20"/>
              </w:rPr>
              <w:t>:</w:t>
            </w:r>
          </w:p>
          <w:p w14:paraId="21A395ED" w14:textId="77777777" w:rsidR="00CE1D14" w:rsidRPr="006238D9" w:rsidRDefault="00CE1D14" w:rsidP="00CE1D14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6238D9">
              <w:rPr>
                <w:rFonts w:ascii="Cambria" w:hAnsi="Cambria" w:cs="Arial"/>
                <w:sz w:val="20"/>
                <w:szCs w:val="20"/>
              </w:rPr>
              <w:t xml:space="preserve">- </w:t>
            </w:r>
            <w:r w:rsidR="006238D9" w:rsidRPr="006238D9">
              <w:rPr>
                <w:rFonts w:ascii="Cambria" w:hAnsi="Cambria" w:cs="Arial"/>
                <w:sz w:val="20"/>
                <w:szCs w:val="20"/>
              </w:rPr>
              <w:t>14.11</w:t>
            </w:r>
            <w:r w:rsidRPr="006238D9">
              <w:rPr>
                <w:rFonts w:ascii="Cambria" w:hAnsi="Cambria" w:cs="Arial"/>
                <w:sz w:val="20"/>
                <w:szCs w:val="20"/>
              </w:rPr>
              <w:t>.2023 r. - zamieszczenie obwieszczenia na tablicach ogłoszeń Urzędu Miasta Piotrkowa Trybunalskiego,</w:t>
            </w:r>
          </w:p>
          <w:p w14:paraId="1BBB77F9" w14:textId="77777777" w:rsidR="00CE1D14" w:rsidRPr="00457CED" w:rsidRDefault="00CE1D14" w:rsidP="00CE1D14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457CED">
              <w:rPr>
                <w:rFonts w:ascii="Cambria" w:hAnsi="Cambria" w:cs="Arial"/>
                <w:sz w:val="20"/>
                <w:szCs w:val="20"/>
              </w:rPr>
              <w:t xml:space="preserve">- </w:t>
            </w:r>
            <w:r w:rsidR="000342D3" w:rsidRPr="00457CED">
              <w:rPr>
                <w:rFonts w:ascii="Cambria" w:hAnsi="Cambria" w:cs="Arial"/>
                <w:sz w:val="20"/>
                <w:szCs w:val="20"/>
              </w:rPr>
              <w:t>14.11</w:t>
            </w:r>
            <w:r w:rsidRPr="00457CED">
              <w:rPr>
                <w:rFonts w:ascii="Cambria" w:hAnsi="Cambria" w:cs="Arial"/>
                <w:sz w:val="20"/>
                <w:szCs w:val="20"/>
              </w:rPr>
              <w:t>.2023 r. zamieszczenie obwieszczenia w Biuletynie Informacji Publicznej,</w:t>
            </w:r>
          </w:p>
          <w:p w14:paraId="01F63AE4" w14:textId="77777777" w:rsidR="00CE1D14" w:rsidRPr="00143E5F" w:rsidRDefault="00CE1D14" w:rsidP="00CE1D14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457CED">
              <w:rPr>
                <w:rFonts w:ascii="Cambria" w:hAnsi="Cambria" w:cs="Arial"/>
                <w:sz w:val="20"/>
                <w:szCs w:val="20"/>
              </w:rPr>
              <w:t xml:space="preserve">- </w:t>
            </w:r>
            <w:r w:rsidR="000342D3" w:rsidRPr="00457CED">
              <w:rPr>
                <w:rFonts w:ascii="Cambria" w:hAnsi="Cambria" w:cs="Arial"/>
                <w:sz w:val="20"/>
                <w:szCs w:val="20"/>
              </w:rPr>
              <w:t>15.11</w:t>
            </w:r>
            <w:r w:rsidRPr="00457CED">
              <w:rPr>
                <w:rFonts w:ascii="Cambria" w:hAnsi="Cambria" w:cs="Arial"/>
                <w:sz w:val="20"/>
                <w:szCs w:val="20"/>
              </w:rPr>
              <w:t>.2023 r. zamieszczenie ogłoszenia w prasie lokalnej.</w:t>
            </w:r>
          </w:p>
        </w:tc>
      </w:tr>
      <w:tr w:rsidR="00CE1D14" w:rsidRPr="00143E5F" w14:paraId="1450037F" w14:textId="77777777" w:rsidTr="00CC063F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5357" w:type="dxa"/>
          </w:tcPr>
          <w:p w14:paraId="09191370" w14:textId="77777777" w:rsidR="00CE1D14" w:rsidRPr="00E566C5" w:rsidRDefault="00CE1D14" w:rsidP="009A1050">
            <w:pPr>
              <w:spacing w:before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566C5">
              <w:rPr>
                <w:rFonts w:ascii="Cambria" w:hAnsi="Cambria" w:cs="Arial"/>
                <w:sz w:val="20"/>
                <w:szCs w:val="20"/>
              </w:rPr>
              <w:lastRenderedPageBreak/>
              <w:t>Art. 1, ust. 2, p. 12)</w:t>
            </w:r>
          </w:p>
          <w:p w14:paraId="220B5A53" w14:textId="77777777" w:rsidR="00CE1D14" w:rsidRPr="00143E5F" w:rsidRDefault="00CE1D14" w:rsidP="009A1050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E566C5">
              <w:rPr>
                <w:rFonts w:ascii="Cambria" w:hAnsi="Cambria" w:cs="Arial"/>
                <w:sz w:val="20"/>
                <w:szCs w:val="20"/>
              </w:rPr>
              <w:t>zachowanie jawności i przejrzystości procedur planistycznych;</w:t>
            </w:r>
          </w:p>
        </w:tc>
        <w:tc>
          <w:tcPr>
            <w:tcW w:w="10018" w:type="dxa"/>
          </w:tcPr>
          <w:p w14:paraId="2894E331" w14:textId="77777777" w:rsidR="00A30C5C" w:rsidRPr="00457CED" w:rsidRDefault="00A30C5C" w:rsidP="009A1050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457CED">
              <w:rPr>
                <w:rFonts w:ascii="Cambria" w:hAnsi="Cambria" w:cs="Arial"/>
                <w:sz w:val="20"/>
                <w:szCs w:val="20"/>
              </w:rPr>
              <w:t xml:space="preserve">Procedura planistyczna związana ze sporządzaniem planu jest przeprowadzana z zachowaniem jawności i przejrzystości poprzez zamieszczenie obwieszczenia o przystąpieniu do sporządzenia planu miejscowego z zastosowaniem postępowania uproszczonego w Biuletynie Informacji Publicznej Pracowni Planowania Przestrzennego oraz na tablicach ogłoszeń Urzędu Miasta Piotrkowa Trybunalskiego, jak również zamieszczenie ogłoszenia w prasie lokalnej. </w:t>
            </w:r>
          </w:p>
          <w:p w14:paraId="72DC9BC0" w14:textId="77777777" w:rsidR="00CE1D14" w:rsidRPr="00143E5F" w:rsidRDefault="00A30C5C" w:rsidP="009A1050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457CED">
              <w:rPr>
                <w:rFonts w:ascii="Cambria" w:hAnsi="Cambria" w:cs="Arial"/>
                <w:sz w:val="20"/>
                <w:szCs w:val="20"/>
              </w:rPr>
              <w:t xml:space="preserve">Ponadto ogłasza się w prasie miejscowej oraz przez obwieszczenie zamieszczone na tablicach ogłoszeń Urzędu Miasta Piotrkowa Trybunalskiego i w Biuletynie Informacji Publicznej Pracowni Planowania Przestrzennego o prowadzeniu konsultacji społecznych w siedzibie Pracowni Planowania Przestrzennego, co umożliwia zainteresowanym zapoznanie się z </w:t>
            </w:r>
            <w:r w:rsidR="00E9480A" w:rsidRPr="00457CED">
              <w:rPr>
                <w:rFonts w:ascii="Cambria" w:hAnsi="Cambria" w:cs="Arial"/>
                <w:sz w:val="20"/>
                <w:szCs w:val="20"/>
              </w:rPr>
              <w:t>projektem zmiany planu miejscowego</w:t>
            </w:r>
            <w:r w:rsidRPr="00457CED">
              <w:rPr>
                <w:rFonts w:ascii="Cambria" w:hAnsi="Cambria" w:cs="Arial"/>
                <w:sz w:val="20"/>
                <w:szCs w:val="20"/>
              </w:rPr>
              <w:t xml:space="preserve"> w wersji papierowej, jak również za pomocą środków komunikacji elektronicznej.</w:t>
            </w:r>
          </w:p>
        </w:tc>
      </w:tr>
      <w:tr w:rsidR="00CE1D14" w:rsidRPr="00143E5F" w14:paraId="64D83167" w14:textId="77777777" w:rsidTr="007F281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357" w:type="dxa"/>
          </w:tcPr>
          <w:p w14:paraId="5CA2E498" w14:textId="77777777" w:rsidR="00CE1D14" w:rsidRPr="00E566C5" w:rsidRDefault="00CE1D14" w:rsidP="009A1050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566C5">
              <w:rPr>
                <w:rFonts w:ascii="Cambria" w:hAnsi="Cambria" w:cs="Arial"/>
                <w:sz w:val="20"/>
                <w:szCs w:val="20"/>
              </w:rPr>
              <w:t>Art. 1, ust. 2, p. 13)</w:t>
            </w:r>
          </w:p>
          <w:p w14:paraId="702883AB" w14:textId="77777777" w:rsidR="00CE1D14" w:rsidRPr="00143E5F" w:rsidRDefault="00CE1D14" w:rsidP="009A1050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E566C5">
              <w:rPr>
                <w:rFonts w:ascii="Cambria" w:hAnsi="Cambria" w:cs="Arial"/>
                <w:sz w:val="20"/>
                <w:szCs w:val="20"/>
              </w:rPr>
              <w:t>potrzebę zapewnienia odpowiedniej ilości i jakości wody, do celów zaopatrzenia ludności;</w:t>
            </w:r>
          </w:p>
        </w:tc>
        <w:tc>
          <w:tcPr>
            <w:tcW w:w="10018" w:type="dxa"/>
          </w:tcPr>
          <w:p w14:paraId="5D5018E7" w14:textId="77777777" w:rsidR="00CE1D14" w:rsidRPr="00143E5F" w:rsidRDefault="00126FB9" w:rsidP="00CE1D14">
            <w:pPr>
              <w:spacing w:before="120" w:line="24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AD04F7">
              <w:rPr>
                <w:rFonts w:ascii="Cambria" w:hAnsi="Cambria" w:cs="Arial"/>
                <w:sz w:val="20"/>
                <w:szCs w:val="20"/>
              </w:rPr>
              <w:t>Bez zmian w stosunku do Uchwały nr IX/123/2003 Rady Miasta w Piotrkowie Trybunalskim z dnia 30 czerwca 2003 r.</w:t>
            </w:r>
          </w:p>
        </w:tc>
      </w:tr>
      <w:tr w:rsidR="00CE1D14" w:rsidRPr="00143E5F" w14:paraId="0B1CDC34" w14:textId="77777777" w:rsidTr="007F281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357" w:type="dxa"/>
          </w:tcPr>
          <w:p w14:paraId="54EC344D" w14:textId="77777777" w:rsidR="00CE1D14" w:rsidRPr="00E566C5" w:rsidRDefault="00CE1D14" w:rsidP="009A1050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566C5">
              <w:rPr>
                <w:rFonts w:ascii="Cambria" w:hAnsi="Cambria" w:cs="Arial"/>
                <w:sz w:val="20"/>
                <w:szCs w:val="20"/>
              </w:rPr>
              <w:t xml:space="preserve">Art. 1, ust. 2, p. </w:t>
            </w:r>
            <w:r>
              <w:rPr>
                <w:rFonts w:ascii="Cambria" w:hAnsi="Cambria" w:cs="Arial"/>
                <w:sz w:val="20"/>
                <w:szCs w:val="20"/>
              </w:rPr>
              <w:t>14</w:t>
            </w:r>
            <w:r w:rsidRPr="00E566C5">
              <w:rPr>
                <w:rFonts w:ascii="Cambria" w:hAnsi="Cambria" w:cs="Arial"/>
                <w:sz w:val="20"/>
                <w:szCs w:val="20"/>
              </w:rPr>
              <w:t>)</w:t>
            </w:r>
          </w:p>
          <w:p w14:paraId="049F5FCB" w14:textId="77777777" w:rsidR="00CE1D14" w:rsidRPr="00E566C5" w:rsidRDefault="00CE1D14" w:rsidP="009A1050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potrzeby zapobiegania poważnym awariom i ograniczeniom ich skutków dla zdrowia ludzkiego i środowiska</w:t>
            </w:r>
            <w:r w:rsidRPr="00E566C5">
              <w:rPr>
                <w:rFonts w:ascii="Cambria" w:hAnsi="Cambria" w:cs="Arial"/>
                <w:sz w:val="20"/>
                <w:szCs w:val="20"/>
              </w:rPr>
              <w:t>;</w:t>
            </w:r>
          </w:p>
        </w:tc>
        <w:tc>
          <w:tcPr>
            <w:tcW w:w="10018" w:type="dxa"/>
          </w:tcPr>
          <w:p w14:paraId="712A9ED9" w14:textId="77777777" w:rsidR="00CE1D14" w:rsidRPr="00126FB9" w:rsidRDefault="008B0C7D" w:rsidP="00CE1D14">
            <w:pPr>
              <w:spacing w:before="12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Nie dotyczy.</w:t>
            </w:r>
          </w:p>
        </w:tc>
      </w:tr>
      <w:tr w:rsidR="00CE1D14" w:rsidRPr="00143E5F" w14:paraId="76068D2F" w14:textId="77777777" w:rsidTr="007F281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357" w:type="dxa"/>
          </w:tcPr>
          <w:p w14:paraId="6D38639F" w14:textId="77777777" w:rsidR="00CE1D14" w:rsidRPr="00126FB9" w:rsidRDefault="00CE1D14" w:rsidP="009A1050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26FB9">
              <w:rPr>
                <w:rFonts w:ascii="Cambria" w:hAnsi="Cambria" w:cs="Arial"/>
                <w:sz w:val="20"/>
                <w:szCs w:val="20"/>
              </w:rPr>
              <w:t>Art. 1, ust. 2, p. 15)</w:t>
            </w:r>
          </w:p>
          <w:p w14:paraId="2752B576" w14:textId="77777777" w:rsidR="00CE1D14" w:rsidRPr="00126FB9" w:rsidRDefault="00CE1D14" w:rsidP="009A1050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26FB9">
              <w:rPr>
                <w:rFonts w:ascii="Cambria" w:hAnsi="Cambria" w:cs="Arial"/>
                <w:sz w:val="20"/>
                <w:szCs w:val="20"/>
              </w:rPr>
              <w:t>potrzeby związane z kształtowaniem rolniczej przestrzeni produkcyjnej i rozwoju produkcji rolniczej;</w:t>
            </w:r>
          </w:p>
        </w:tc>
        <w:tc>
          <w:tcPr>
            <w:tcW w:w="10018" w:type="dxa"/>
          </w:tcPr>
          <w:p w14:paraId="2B083C85" w14:textId="77777777" w:rsidR="00CE1D14" w:rsidRPr="00126FB9" w:rsidRDefault="00126FB9" w:rsidP="00CE1D14">
            <w:pPr>
              <w:spacing w:before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26FB9">
              <w:rPr>
                <w:rFonts w:ascii="Cambria" w:hAnsi="Cambria" w:cs="Arial"/>
                <w:sz w:val="20"/>
                <w:szCs w:val="20"/>
              </w:rPr>
              <w:t>Obszar objęty zmianą planu nie jest terenem rolnym.</w:t>
            </w:r>
          </w:p>
        </w:tc>
      </w:tr>
      <w:tr w:rsidR="00CE1D14" w:rsidRPr="00143E5F" w14:paraId="002A67CE" w14:textId="77777777" w:rsidTr="009A1050">
        <w:tblPrEx>
          <w:tblCellMar>
            <w:top w:w="0" w:type="dxa"/>
            <w:bottom w:w="0" w:type="dxa"/>
          </w:tblCellMar>
        </w:tblPrEx>
        <w:trPr>
          <w:trHeight w:val="1865"/>
        </w:trPr>
        <w:tc>
          <w:tcPr>
            <w:tcW w:w="5357" w:type="dxa"/>
          </w:tcPr>
          <w:p w14:paraId="7463403A" w14:textId="77777777" w:rsidR="00CE1D14" w:rsidRPr="0017622D" w:rsidRDefault="00CE1D14" w:rsidP="009A1050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7622D">
              <w:rPr>
                <w:rFonts w:ascii="Cambria" w:hAnsi="Cambria" w:cs="Arial"/>
                <w:sz w:val="20"/>
                <w:szCs w:val="20"/>
              </w:rPr>
              <w:t>Art. 1, ust. 3</w:t>
            </w:r>
          </w:p>
          <w:p w14:paraId="1EA3F087" w14:textId="77777777" w:rsidR="00CE1D14" w:rsidRPr="00143E5F" w:rsidRDefault="00CE1D14" w:rsidP="009A1050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17622D">
              <w:rPr>
                <w:rFonts w:ascii="Cambria" w:hAnsi="Cambria" w:cs="Arial"/>
                <w:sz w:val="20"/>
                <w:szCs w:val="20"/>
              </w:rPr>
              <w:t>Ustalając przeznaczenie terenu lub określając potencjalny sposób zagospodarowania i korzystania z terenu, organ waży interes publiczny i interesy prywatne, w tym zgłaszane w postaci wniosków i uwag, zmierzające do ochrony istniejącego stanu zagospodarowania terenu, jak i zmian w zakresie jego zagospodarowania, a także analizy ekonomiczne, środowiskowe i społeczne;</w:t>
            </w:r>
          </w:p>
        </w:tc>
        <w:tc>
          <w:tcPr>
            <w:tcW w:w="10018" w:type="dxa"/>
          </w:tcPr>
          <w:p w14:paraId="124F1D79" w14:textId="77777777" w:rsidR="00CE1D14" w:rsidRPr="00143E5F" w:rsidRDefault="00CA2FB6" w:rsidP="00CE1D14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Projektowana zmiana umożliwi </w:t>
            </w:r>
            <w:r w:rsidR="00BD04E9">
              <w:rPr>
                <w:rFonts w:ascii="Cambria" w:hAnsi="Cambria" w:cs="Arial"/>
                <w:sz w:val="20"/>
                <w:szCs w:val="20"/>
              </w:rPr>
              <w:t>wprowadzenie</w:t>
            </w:r>
            <w:r>
              <w:rPr>
                <w:rFonts w:ascii="Cambria" w:hAnsi="Cambria" w:cs="Arial"/>
                <w:sz w:val="20"/>
                <w:szCs w:val="20"/>
              </w:rPr>
              <w:t xml:space="preserve"> w obszar publiczny</w:t>
            </w:r>
            <w:r w:rsidR="00BD04E9">
              <w:rPr>
                <w:rFonts w:ascii="Cambria" w:hAnsi="Cambria" w:cs="Arial"/>
                <w:sz w:val="20"/>
                <w:szCs w:val="20"/>
              </w:rPr>
              <w:t>,</w:t>
            </w:r>
            <w:r>
              <w:rPr>
                <w:rFonts w:ascii="Cambria" w:hAnsi="Cambria" w:cs="Arial"/>
                <w:sz w:val="20"/>
                <w:szCs w:val="20"/>
              </w:rPr>
              <w:t xml:space="preserve"> czyli na teren Parku Belzackiego</w:t>
            </w:r>
            <w:r w:rsidR="00BD04E9">
              <w:rPr>
                <w:rFonts w:ascii="Cambria" w:hAnsi="Cambria" w:cs="Arial"/>
                <w:sz w:val="20"/>
                <w:szCs w:val="20"/>
              </w:rPr>
              <w:t>,</w:t>
            </w:r>
            <w:r>
              <w:rPr>
                <w:rFonts w:ascii="Cambria" w:hAnsi="Cambria" w:cs="Arial"/>
                <w:sz w:val="20"/>
                <w:szCs w:val="20"/>
              </w:rPr>
              <w:t xml:space="preserve"> interesu prywatnego</w:t>
            </w:r>
            <w:r w:rsidR="00BD04E9">
              <w:rPr>
                <w:rFonts w:ascii="Cambria" w:hAnsi="Cambria" w:cs="Arial"/>
                <w:sz w:val="20"/>
                <w:szCs w:val="20"/>
              </w:rPr>
              <w:t>,</w:t>
            </w:r>
            <w:r>
              <w:rPr>
                <w:rFonts w:ascii="Cambria" w:hAnsi="Cambria" w:cs="Arial"/>
                <w:sz w:val="20"/>
                <w:szCs w:val="20"/>
              </w:rPr>
              <w:t xml:space="preserve"> poprzez możliwość ekonomicznego wykorzystania terenów np. pod usługi gastronomii</w:t>
            </w:r>
            <w:r w:rsidR="00BD04E9">
              <w:rPr>
                <w:rFonts w:ascii="Cambria" w:hAnsi="Cambria" w:cs="Arial"/>
                <w:sz w:val="20"/>
                <w:szCs w:val="20"/>
              </w:rPr>
              <w:t>, co leży w</w:t>
            </w:r>
            <w:r w:rsidR="00594DA3">
              <w:rPr>
                <w:rFonts w:ascii="Cambria" w:hAnsi="Cambria" w:cs="Arial"/>
                <w:sz w:val="20"/>
                <w:szCs w:val="20"/>
              </w:rPr>
              <w:t> </w:t>
            </w:r>
            <w:r w:rsidR="00BD04E9">
              <w:rPr>
                <w:rFonts w:ascii="Cambria" w:hAnsi="Cambria" w:cs="Arial"/>
                <w:sz w:val="20"/>
                <w:szCs w:val="20"/>
              </w:rPr>
              <w:t>interesie publicznym, gdyż</w:t>
            </w:r>
            <w:r w:rsidRPr="00E3400B">
              <w:rPr>
                <w:rFonts w:ascii="Cambria" w:hAnsi="Cambria" w:cs="Arial"/>
                <w:sz w:val="20"/>
                <w:szCs w:val="20"/>
              </w:rPr>
              <w:t xml:space="preserve">, zwiększy </w:t>
            </w:r>
            <w:r w:rsidR="00BD04E9">
              <w:rPr>
                <w:rFonts w:ascii="Cambria" w:hAnsi="Cambria" w:cs="Arial"/>
                <w:sz w:val="20"/>
                <w:szCs w:val="20"/>
              </w:rPr>
              <w:t>atrakcyjność i funkcjonalność Parku Belzackiego dla mieszkańców miasta.</w:t>
            </w:r>
          </w:p>
        </w:tc>
      </w:tr>
      <w:tr w:rsidR="00CE1D14" w:rsidRPr="00143E5F" w14:paraId="0F1EFC15" w14:textId="77777777" w:rsidTr="00346EFB">
        <w:tblPrEx>
          <w:tblCellMar>
            <w:top w:w="0" w:type="dxa"/>
            <w:bottom w:w="0" w:type="dxa"/>
          </w:tblCellMar>
        </w:tblPrEx>
        <w:trPr>
          <w:trHeight w:val="1943"/>
        </w:trPr>
        <w:tc>
          <w:tcPr>
            <w:tcW w:w="5357" w:type="dxa"/>
          </w:tcPr>
          <w:p w14:paraId="75DCE9D4" w14:textId="77777777" w:rsidR="00CE1D14" w:rsidRPr="0017622D" w:rsidRDefault="00CE1D14" w:rsidP="009A1050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7622D">
              <w:rPr>
                <w:rFonts w:ascii="Cambria" w:hAnsi="Cambria" w:cs="Arial"/>
                <w:sz w:val="20"/>
                <w:szCs w:val="20"/>
              </w:rPr>
              <w:t>Art. 1, ust. 4, p. 1)</w:t>
            </w:r>
          </w:p>
          <w:p w14:paraId="3703595D" w14:textId="77777777" w:rsidR="00CE1D14" w:rsidRPr="0017622D" w:rsidRDefault="00CE1D14" w:rsidP="009A1050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7622D">
              <w:rPr>
                <w:rFonts w:ascii="Cambria" w:hAnsi="Cambria" w:cs="Arial"/>
                <w:sz w:val="20"/>
                <w:szCs w:val="20"/>
              </w:rPr>
              <w:t>W przypadku sytuowania nowej zabudowy, uwzględnienie wymagań ładu przestrzennego, walorów przyrodniczych przestrzeni, efektywnego gospodarowania przestrzenią oraz walorów ekonomicznych przestrzeni następuje poprzez:</w:t>
            </w:r>
          </w:p>
          <w:p w14:paraId="16880381" w14:textId="77777777" w:rsidR="00CE1D14" w:rsidRPr="00143E5F" w:rsidRDefault="00CE1D14" w:rsidP="009A1050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17622D">
              <w:rPr>
                <w:rFonts w:ascii="Cambria" w:hAnsi="Cambria" w:cs="Arial"/>
                <w:sz w:val="20"/>
                <w:szCs w:val="20"/>
              </w:rPr>
              <w:t>- kształtowanie struktur przestrzennych przy uwzględnieniu dążenia do minimalizowania transportochłonności układu przestrzennego;</w:t>
            </w:r>
          </w:p>
        </w:tc>
        <w:tc>
          <w:tcPr>
            <w:tcW w:w="10018" w:type="dxa"/>
          </w:tcPr>
          <w:p w14:paraId="7AFB209C" w14:textId="77777777" w:rsidR="00CE1D14" w:rsidRPr="00D77369" w:rsidRDefault="00D77369" w:rsidP="00CE1D14">
            <w:pPr>
              <w:spacing w:before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D77369">
              <w:rPr>
                <w:rFonts w:ascii="Cambria" w:hAnsi="Cambria" w:cs="Arial"/>
                <w:sz w:val="20"/>
                <w:szCs w:val="20"/>
              </w:rPr>
              <w:t>Projektowana zmiana nie dopuszcza realizacji nowej zabudowy.</w:t>
            </w:r>
          </w:p>
        </w:tc>
      </w:tr>
      <w:tr w:rsidR="00CE1D14" w:rsidRPr="00143E5F" w14:paraId="070461BD" w14:textId="77777777" w:rsidTr="009A105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357" w:type="dxa"/>
          </w:tcPr>
          <w:p w14:paraId="32B96B66" w14:textId="77777777" w:rsidR="00CE1D14" w:rsidRPr="0017622D" w:rsidRDefault="00CE1D14" w:rsidP="009A1050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7622D">
              <w:rPr>
                <w:rFonts w:ascii="Cambria" w:hAnsi="Cambria" w:cs="Arial"/>
                <w:sz w:val="20"/>
                <w:szCs w:val="20"/>
              </w:rPr>
              <w:t>Art. 1, ust. 4. p. 2)</w:t>
            </w:r>
          </w:p>
          <w:p w14:paraId="0E5A039F" w14:textId="77777777" w:rsidR="00CE1D14" w:rsidRPr="0017622D" w:rsidRDefault="00CE1D14" w:rsidP="009A1050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7622D">
              <w:rPr>
                <w:rFonts w:ascii="Cambria" w:hAnsi="Cambria" w:cs="Arial"/>
                <w:sz w:val="20"/>
                <w:szCs w:val="20"/>
              </w:rPr>
              <w:t>W przypadku sytuowania nowej zabudowy, uwzględnienie wymagań ładu przestrzennego, walorów przyrodniczych przestrzeni, efektywnego gospodarowania przestrzenią oraz walorów ekonomicznych przestrzeni następuje poprzez:</w:t>
            </w:r>
          </w:p>
          <w:p w14:paraId="2E499CE4" w14:textId="77777777" w:rsidR="00CE1D14" w:rsidRPr="00143E5F" w:rsidRDefault="00CE1D14" w:rsidP="009A1050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17622D">
              <w:rPr>
                <w:rFonts w:ascii="Cambria" w:hAnsi="Cambria" w:cs="Arial"/>
                <w:sz w:val="20"/>
                <w:szCs w:val="20"/>
              </w:rPr>
              <w:t xml:space="preserve">- lokalizowanie nowej zabudowy mieszkaniowej w sposób umożliwiający mieszkańcom maksymalne wykorzystanie </w:t>
            </w:r>
            <w:r w:rsidRPr="0017622D">
              <w:rPr>
                <w:rFonts w:ascii="Cambria" w:hAnsi="Cambria" w:cs="Arial"/>
                <w:sz w:val="20"/>
                <w:szCs w:val="20"/>
              </w:rPr>
              <w:lastRenderedPageBreak/>
              <w:t>publicznego transportu zbiorowego jako podstawowego środka transportu;</w:t>
            </w:r>
          </w:p>
        </w:tc>
        <w:tc>
          <w:tcPr>
            <w:tcW w:w="10018" w:type="dxa"/>
          </w:tcPr>
          <w:p w14:paraId="59149E29" w14:textId="77777777" w:rsidR="00CE1D14" w:rsidRPr="00143E5F" w:rsidRDefault="00D77369" w:rsidP="009A1050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D77369">
              <w:rPr>
                <w:rFonts w:ascii="Cambria" w:hAnsi="Cambria" w:cs="Arial"/>
                <w:sz w:val="20"/>
                <w:szCs w:val="20"/>
              </w:rPr>
              <w:lastRenderedPageBreak/>
              <w:t>Projektowana zmiana nie dopuszcza realizacji nowej zabudowy.</w:t>
            </w:r>
          </w:p>
        </w:tc>
      </w:tr>
      <w:tr w:rsidR="00CE1D14" w:rsidRPr="00143E5F" w14:paraId="7A34D2CA" w14:textId="77777777" w:rsidTr="00CC063F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5357" w:type="dxa"/>
          </w:tcPr>
          <w:p w14:paraId="4E265724" w14:textId="77777777" w:rsidR="00CE1D14" w:rsidRPr="0017622D" w:rsidRDefault="00CE1D14" w:rsidP="009A1050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7622D">
              <w:rPr>
                <w:rFonts w:ascii="Cambria" w:hAnsi="Cambria" w:cs="Arial"/>
                <w:sz w:val="20"/>
                <w:szCs w:val="20"/>
              </w:rPr>
              <w:t>Art. 1, ust. 4, p. 3)</w:t>
            </w:r>
          </w:p>
          <w:p w14:paraId="2FE9E4DC" w14:textId="77777777" w:rsidR="00CE1D14" w:rsidRPr="0017622D" w:rsidRDefault="00CE1D14" w:rsidP="009A1050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7622D">
              <w:rPr>
                <w:rFonts w:ascii="Cambria" w:hAnsi="Cambria" w:cs="Arial"/>
                <w:sz w:val="20"/>
                <w:szCs w:val="20"/>
              </w:rPr>
              <w:t>W przypadku sytuowania nowej zabudowy, uwzględnienie wymagań ładu przestrzennego, walorów przyrodniczych przestrzeni, efektywnego gospodarowania przestrzenią oraz walorów ekonomicznych przestrzeni następuje poprzez:</w:t>
            </w:r>
          </w:p>
          <w:p w14:paraId="3AFD8B29" w14:textId="77777777" w:rsidR="00CE1D14" w:rsidRPr="00143E5F" w:rsidRDefault="00CE1D14" w:rsidP="009A1050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17622D">
              <w:rPr>
                <w:rFonts w:ascii="Cambria" w:hAnsi="Cambria" w:cs="Arial"/>
                <w:sz w:val="20"/>
                <w:szCs w:val="20"/>
              </w:rPr>
              <w:t>- zapewnianie rozwiązań przestrzennych, ułatwiających przemieszczanie się pieszych i rowerzystów;</w:t>
            </w:r>
          </w:p>
        </w:tc>
        <w:tc>
          <w:tcPr>
            <w:tcW w:w="10018" w:type="dxa"/>
          </w:tcPr>
          <w:p w14:paraId="2BD0896D" w14:textId="77777777" w:rsidR="00CE1D14" w:rsidRPr="00143E5F" w:rsidRDefault="00D77369" w:rsidP="009A1050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D77369">
              <w:rPr>
                <w:rFonts w:ascii="Cambria" w:hAnsi="Cambria" w:cs="Arial"/>
                <w:sz w:val="20"/>
                <w:szCs w:val="20"/>
              </w:rPr>
              <w:t>Projektowana zmiana nie dopuszcza realizacji nowej zabudowy.</w:t>
            </w:r>
          </w:p>
        </w:tc>
      </w:tr>
      <w:tr w:rsidR="00CE1D14" w:rsidRPr="00143E5F" w14:paraId="7FF577E6" w14:textId="77777777" w:rsidTr="00481083">
        <w:tblPrEx>
          <w:tblCellMar>
            <w:top w:w="0" w:type="dxa"/>
            <w:bottom w:w="0" w:type="dxa"/>
          </w:tblCellMar>
        </w:tblPrEx>
        <w:trPr>
          <w:trHeight w:val="1323"/>
        </w:trPr>
        <w:tc>
          <w:tcPr>
            <w:tcW w:w="5357" w:type="dxa"/>
          </w:tcPr>
          <w:p w14:paraId="5787986D" w14:textId="77777777" w:rsidR="00CE1D14" w:rsidRPr="0017622D" w:rsidRDefault="00CE1D14" w:rsidP="009A1050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7622D">
              <w:rPr>
                <w:rFonts w:ascii="Cambria" w:hAnsi="Cambria" w:cs="Arial"/>
                <w:sz w:val="20"/>
                <w:szCs w:val="20"/>
              </w:rPr>
              <w:t>Art. 1, ust. 4, p. 4), a)</w:t>
            </w:r>
          </w:p>
          <w:p w14:paraId="07EF6FFB" w14:textId="77777777" w:rsidR="00CE1D14" w:rsidRPr="0017622D" w:rsidRDefault="00CE1D14" w:rsidP="009A1050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7622D">
              <w:rPr>
                <w:rFonts w:ascii="Cambria" w:hAnsi="Cambria" w:cs="Arial"/>
                <w:sz w:val="20"/>
                <w:szCs w:val="20"/>
              </w:rPr>
              <w:t>W przypadku sytuowania nowej zabudowy, uwzględnienie wymagań ładu przestrzennego, walorów przyrodniczych przestrzeni, efektywnego gospodarowania przestrzenią oraz walorów ekonomicznych przestrzeni następuje poprzez:</w:t>
            </w:r>
          </w:p>
          <w:p w14:paraId="07A7B69F" w14:textId="77777777" w:rsidR="00CE1D14" w:rsidRPr="00143E5F" w:rsidRDefault="00CE1D14" w:rsidP="009A1050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17622D">
              <w:rPr>
                <w:rFonts w:ascii="Cambria" w:hAnsi="Cambria" w:cs="Arial"/>
                <w:sz w:val="20"/>
                <w:szCs w:val="20"/>
              </w:rPr>
              <w:t xml:space="preserve"> - dążenie do planowania i lokalizowania nowej zabudowy na obszarach o w pełni wykształconej zwartej strukturze funkcjonalno-przestrzennej, w granicach jednostki osadniczej w rozumieniu art. 2 pkt 1 ustawy z dnia 29 sierpnia 2003 r. o urzędowych nazwach miejscowości i obiektów fizjograficznych (Dz. U. Nr z 2019 r. poz. 1443), w szczególności poprzez uzupełnianie istniejącej zabudowy;</w:t>
            </w:r>
          </w:p>
        </w:tc>
        <w:tc>
          <w:tcPr>
            <w:tcW w:w="10018" w:type="dxa"/>
          </w:tcPr>
          <w:p w14:paraId="48159B59" w14:textId="77777777" w:rsidR="00CE1D14" w:rsidRPr="00143E5F" w:rsidRDefault="00D77369" w:rsidP="009A1050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D77369">
              <w:rPr>
                <w:rFonts w:ascii="Cambria" w:hAnsi="Cambria" w:cs="Arial"/>
                <w:sz w:val="20"/>
                <w:szCs w:val="20"/>
              </w:rPr>
              <w:t>Projektowana zmiana nie dopuszcza realizacji nowej zabudowy.</w:t>
            </w:r>
          </w:p>
        </w:tc>
      </w:tr>
      <w:tr w:rsidR="00CE1D14" w:rsidRPr="00143E5F" w14:paraId="4D7C027B" w14:textId="77777777" w:rsidTr="00346EFB">
        <w:tblPrEx>
          <w:tblCellMar>
            <w:top w:w="0" w:type="dxa"/>
            <w:bottom w:w="0" w:type="dxa"/>
          </w:tblCellMar>
        </w:tblPrEx>
        <w:trPr>
          <w:trHeight w:val="4387"/>
        </w:trPr>
        <w:tc>
          <w:tcPr>
            <w:tcW w:w="5357" w:type="dxa"/>
          </w:tcPr>
          <w:p w14:paraId="0705B934" w14:textId="77777777" w:rsidR="00CE1D14" w:rsidRPr="006A72EF" w:rsidRDefault="00CE1D14" w:rsidP="009A1050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6A72EF">
              <w:rPr>
                <w:rFonts w:ascii="Cambria" w:hAnsi="Cambria" w:cs="Arial"/>
                <w:sz w:val="20"/>
                <w:szCs w:val="20"/>
              </w:rPr>
              <w:t>Art. 1, ust. 4, p. 4), b)</w:t>
            </w:r>
          </w:p>
          <w:p w14:paraId="019EC31B" w14:textId="77777777" w:rsidR="00CE1D14" w:rsidRPr="006A72EF" w:rsidRDefault="00CE1D14" w:rsidP="009A1050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6A72EF">
              <w:rPr>
                <w:rFonts w:ascii="Cambria" w:hAnsi="Cambria" w:cs="Arial"/>
                <w:sz w:val="20"/>
                <w:szCs w:val="20"/>
              </w:rPr>
              <w:t>W przypadku sytuowania nowej zabudowy, uwzględnienie wymagań ładu przestrzennego, walorów przyrodniczych przestrzeni, efektywnego gospodarowania przestrzenią oraz walorów ekonomicznych przestrzeni następuje poprzez:</w:t>
            </w:r>
          </w:p>
          <w:p w14:paraId="42AF93A9" w14:textId="77777777" w:rsidR="00CE1D14" w:rsidRPr="00143E5F" w:rsidRDefault="00CE1D14" w:rsidP="009A1050">
            <w:pPr>
              <w:spacing w:line="240" w:lineRule="auto"/>
              <w:rPr>
                <w:rFonts w:ascii="Cambria" w:hAnsi="Cambria" w:cs="Arial"/>
                <w:color w:val="FF0000"/>
              </w:rPr>
            </w:pPr>
            <w:r w:rsidRPr="006A72EF">
              <w:rPr>
                <w:rFonts w:ascii="Cambria" w:hAnsi="Cambria" w:cs="Arial"/>
                <w:sz w:val="20"/>
                <w:szCs w:val="20"/>
              </w:rPr>
              <w:t>- dążenie do planowania i lokalizowania nowej zabudowy na terenach położonych na obszarach innych niż wymienione w lit. a, wyłącznie w sytuacji braku dostatecznej ilości terenów przeznaczonych pod dany rodzaj zabudowy położonych na obszarach, o których mowa w lit. a, przy czym w pierwszej kolejności na obszarach w najwyższym stopniu przygotowanych do zabudowy, przez co rozumie się obszary charakteryzujące się najlepszym dostępem do sieci komunikacyjnej oraz najlepszym stopniem wyposażenia w sieci wodociągowe, kanalizacyjne, elektroenergetyczne, gazowe, ciepłownicze oraz sieci i urządzenia</w:t>
            </w:r>
            <w:r w:rsidRPr="006A72EF">
              <w:rPr>
                <w:rFonts w:ascii="Cambria" w:hAnsi="Cambria" w:cs="Arial"/>
              </w:rPr>
              <w:t xml:space="preserve"> </w:t>
            </w:r>
            <w:r w:rsidRPr="006A72EF">
              <w:rPr>
                <w:rFonts w:ascii="Cambria" w:hAnsi="Cambria" w:cs="Arial"/>
                <w:sz w:val="20"/>
                <w:szCs w:val="20"/>
              </w:rPr>
              <w:t>telekomunikacyjne, adekwatnych dla nowej, planowanej zabudowy;</w:t>
            </w:r>
          </w:p>
        </w:tc>
        <w:tc>
          <w:tcPr>
            <w:tcW w:w="10018" w:type="dxa"/>
          </w:tcPr>
          <w:p w14:paraId="64C0A4B8" w14:textId="77777777" w:rsidR="00CE1D14" w:rsidRPr="00143E5F" w:rsidRDefault="00D77369" w:rsidP="00CE1D14">
            <w:pPr>
              <w:spacing w:before="120" w:line="24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D77369">
              <w:rPr>
                <w:rFonts w:ascii="Cambria" w:hAnsi="Cambria" w:cs="Arial"/>
                <w:sz w:val="20"/>
                <w:szCs w:val="20"/>
              </w:rPr>
              <w:t>Projektowana zmiana nie dopuszcza realizacji nowej zabudowy.</w:t>
            </w:r>
          </w:p>
        </w:tc>
      </w:tr>
      <w:tr w:rsidR="00CE1D14" w:rsidRPr="00143E5F" w14:paraId="565A4D0B" w14:textId="77777777" w:rsidTr="00481083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5357" w:type="dxa"/>
          </w:tcPr>
          <w:p w14:paraId="29780825" w14:textId="77777777" w:rsidR="00CE1D14" w:rsidRPr="00FE2F93" w:rsidRDefault="00CE1D14" w:rsidP="009A1050">
            <w:pPr>
              <w:spacing w:before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FE2F93">
              <w:rPr>
                <w:rFonts w:ascii="Cambria" w:hAnsi="Cambria" w:cs="Arial"/>
                <w:sz w:val="20"/>
                <w:szCs w:val="20"/>
              </w:rPr>
              <w:lastRenderedPageBreak/>
              <w:t>Art. 15, ust. 1, p. 2)</w:t>
            </w:r>
          </w:p>
          <w:p w14:paraId="7CDD36A6" w14:textId="77777777" w:rsidR="00CE1D14" w:rsidRPr="00143E5F" w:rsidRDefault="00CE1D14" w:rsidP="009A1050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FE2F93">
              <w:rPr>
                <w:rFonts w:ascii="Cambria" w:hAnsi="Cambria" w:cs="Arial"/>
                <w:sz w:val="20"/>
                <w:szCs w:val="20"/>
              </w:rPr>
              <w:t xml:space="preserve">zgodność z wynikami analizy, o której mowa w art. 32 ust. 1, </w:t>
            </w:r>
            <w:r w:rsidRPr="00BB157B">
              <w:rPr>
                <w:rFonts w:ascii="Cambria" w:hAnsi="Cambria" w:cs="Arial"/>
                <w:sz w:val="20"/>
                <w:szCs w:val="20"/>
              </w:rPr>
              <w:t>wraz datą uchwały rady gminy, o której mowa w art. 32 ust. 2 oraz sposób uwzględnienia uniwersalnego projektowania;</w:t>
            </w:r>
          </w:p>
        </w:tc>
        <w:tc>
          <w:tcPr>
            <w:tcW w:w="10018" w:type="dxa"/>
          </w:tcPr>
          <w:p w14:paraId="4D867BE2" w14:textId="77777777" w:rsidR="00CE1D14" w:rsidRPr="000F20FC" w:rsidRDefault="00CE1D14" w:rsidP="00CE1D14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0F20FC">
              <w:rPr>
                <w:rFonts w:ascii="Cambria" w:hAnsi="Cambria" w:cs="Arial"/>
                <w:sz w:val="20"/>
                <w:szCs w:val="20"/>
              </w:rPr>
              <w:t>W celu oceny aktualności studium i planów miejscowych Prezydent Miasta dokonał analizy zmian w zagospodarowaniu przestrzennym gminy Miasto Piotrków Trybunalski, ocenił postępy w opracowywaniu planów miejscowych i opracował Wieloletni Program ich sporządzania w nawiązaniu do ustaleń studium, z</w:t>
            </w:r>
            <w:r w:rsidR="00594DA3">
              <w:rPr>
                <w:rFonts w:ascii="Cambria" w:hAnsi="Cambria" w:cs="Arial"/>
                <w:sz w:val="20"/>
                <w:szCs w:val="20"/>
              </w:rPr>
              <w:t> </w:t>
            </w:r>
            <w:r w:rsidRPr="000F20FC">
              <w:rPr>
                <w:rFonts w:ascii="Cambria" w:hAnsi="Cambria" w:cs="Arial"/>
                <w:sz w:val="20"/>
                <w:szCs w:val="20"/>
              </w:rPr>
              <w:t xml:space="preserve">uwzględnieniem decyzji o warunkach zabudowy oraz wniosków w sprawie sporządzania lub zmiany planów miejscowych. </w:t>
            </w:r>
          </w:p>
          <w:p w14:paraId="3B4B776D" w14:textId="77777777" w:rsidR="00CE1D14" w:rsidRPr="000F20FC" w:rsidRDefault="00CE1D14" w:rsidP="00CE1D14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0F20FC">
              <w:rPr>
                <w:rFonts w:ascii="Cambria" w:hAnsi="Cambria" w:cs="Arial"/>
                <w:sz w:val="20"/>
                <w:szCs w:val="20"/>
              </w:rPr>
              <w:t>Analiza została przyjęta Uchwałą Nr IV/45/19 Rady Miasta Piotrkowa Trybunalskiego z dnia 30.01.2019 r. w</w:t>
            </w:r>
            <w:r w:rsidR="00594DA3">
              <w:rPr>
                <w:rFonts w:ascii="Cambria" w:hAnsi="Cambria" w:cs="Arial"/>
                <w:sz w:val="20"/>
                <w:szCs w:val="20"/>
              </w:rPr>
              <w:t> </w:t>
            </w:r>
            <w:r w:rsidRPr="000F20FC">
              <w:rPr>
                <w:rFonts w:ascii="Cambria" w:hAnsi="Cambria" w:cs="Arial"/>
                <w:sz w:val="20"/>
                <w:szCs w:val="20"/>
              </w:rPr>
              <w:t>sprawie aktualności Studium uwarunkowań i kierunków zagospodarowania przestrzennego oraz miejscowych planów zagospodarowania przestrzennego miasta Piotrkowa Trybunalskiego.</w:t>
            </w:r>
          </w:p>
          <w:p w14:paraId="593160C5" w14:textId="77777777" w:rsidR="00CE1D14" w:rsidRPr="00143E5F" w:rsidRDefault="00CE1D14" w:rsidP="00CE1D14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0F20FC">
              <w:rPr>
                <w:rFonts w:ascii="Cambria" w:hAnsi="Cambria" w:cs="Arial"/>
                <w:sz w:val="20"/>
                <w:szCs w:val="20"/>
              </w:rPr>
              <w:t>Wyniki analizy nie miały wpływu na przystąpienie do opracowywania planu miejscowego w przedmiotowym obszarze.</w:t>
            </w:r>
          </w:p>
        </w:tc>
      </w:tr>
      <w:tr w:rsidR="00CE1D14" w:rsidRPr="00143E5F" w14:paraId="06DE07C4" w14:textId="77777777" w:rsidTr="00346EF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57" w:type="dxa"/>
          </w:tcPr>
          <w:p w14:paraId="614A72EA" w14:textId="77777777" w:rsidR="00CE1D14" w:rsidRPr="00C949D3" w:rsidRDefault="00CE1D14" w:rsidP="009A1050">
            <w:pPr>
              <w:spacing w:before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949D3">
              <w:rPr>
                <w:rFonts w:ascii="Cambria" w:hAnsi="Cambria" w:cs="Arial"/>
                <w:sz w:val="20"/>
                <w:szCs w:val="20"/>
              </w:rPr>
              <w:t>Art. 15, ust. 1, p. 3)</w:t>
            </w:r>
          </w:p>
          <w:p w14:paraId="002765A3" w14:textId="77777777" w:rsidR="00CE1D14" w:rsidRPr="00143E5F" w:rsidRDefault="00CE1D14" w:rsidP="009A1050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C949D3">
              <w:rPr>
                <w:rFonts w:ascii="Cambria" w:hAnsi="Cambria" w:cs="Arial"/>
                <w:sz w:val="20"/>
                <w:szCs w:val="20"/>
              </w:rPr>
              <w:t>wpływ na finanse publiczne, w tym budżet gminy;</w:t>
            </w:r>
          </w:p>
        </w:tc>
        <w:tc>
          <w:tcPr>
            <w:tcW w:w="10018" w:type="dxa"/>
          </w:tcPr>
          <w:p w14:paraId="0272BD8A" w14:textId="77777777" w:rsidR="00CE1D14" w:rsidRPr="000E2A03" w:rsidRDefault="000E2A03" w:rsidP="00CE1D14">
            <w:pPr>
              <w:spacing w:before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0E2A03">
              <w:rPr>
                <w:rFonts w:ascii="Cambria" w:hAnsi="Cambria" w:cs="Arial"/>
                <w:sz w:val="20"/>
                <w:szCs w:val="20"/>
              </w:rPr>
              <w:t xml:space="preserve">Projektowana zmiana nie będzie generować nakładów finansowych dla Miasta Piotrkowa Trybunalskiego związanych z realizacją jej ustaleń, natomiast w związku z wprowadzeniem dodatkowych funkcji usługowych może przynieść dochody z tytułu wynajmu bądź dzierżawy. </w:t>
            </w:r>
          </w:p>
        </w:tc>
      </w:tr>
      <w:tr w:rsidR="00CE1D14" w:rsidRPr="00143E5F" w14:paraId="4F41C0BF" w14:textId="77777777" w:rsidTr="00346EF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57" w:type="dxa"/>
          </w:tcPr>
          <w:p w14:paraId="0EDCA7A3" w14:textId="77777777" w:rsidR="00CE1D14" w:rsidRPr="00C949D3" w:rsidRDefault="00CE1D14" w:rsidP="009A1050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949D3">
              <w:rPr>
                <w:rFonts w:ascii="Cambria" w:hAnsi="Cambria" w:cs="Arial"/>
                <w:sz w:val="20"/>
                <w:szCs w:val="20"/>
              </w:rPr>
              <w:t xml:space="preserve">Art. </w:t>
            </w:r>
            <w:r>
              <w:rPr>
                <w:rFonts w:ascii="Cambria" w:hAnsi="Cambria" w:cs="Arial"/>
                <w:sz w:val="20"/>
                <w:szCs w:val="20"/>
              </w:rPr>
              <w:t>27b</w:t>
            </w:r>
            <w:r w:rsidRPr="00C949D3">
              <w:rPr>
                <w:rFonts w:ascii="Cambria" w:hAnsi="Cambria" w:cs="Arial"/>
                <w:sz w:val="20"/>
                <w:szCs w:val="20"/>
              </w:rPr>
              <w:t xml:space="preserve">, ust. </w:t>
            </w:r>
            <w:r>
              <w:rPr>
                <w:rFonts w:ascii="Cambria" w:hAnsi="Cambria" w:cs="Arial"/>
                <w:sz w:val="20"/>
                <w:szCs w:val="20"/>
              </w:rPr>
              <w:t>5.</w:t>
            </w:r>
          </w:p>
          <w:p w14:paraId="4217C9B5" w14:textId="77777777" w:rsidR="00CE1D14" w:rsidRPr="00C949D3" w:rsidRDefault="00CE1D14" w:rsidP="009A1050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wyjaśnienie przyczyn zastosowania postępowania uproszczonego</w:t>
            </w:r>
            <w:r w:rsidRPr="00C949D3">
              <w:rPr>
                <w:rFonts w:ascii="Cambria" w:hAnsi="Cambria" w:cs="Arial"/>
                <w:sz w:val="20"/>
                <w:szCs w:val="20"/>
              </w:rPr>
              <w:t>;</w:t>
            </w:r>
          </w:p>
        </w:tc>
        <w:tc>
          <w:tcPr>
            <w:tcW w:w="10018" w:type="dxa"/>
          </w:tcPr>
          <w:p w14:paraId="25A1EA67" w14:textId="77777777" w:rsidR="003259BA" w:rsidRDefault="00661A30" w:rsidP="00CE1D14">
            <w:pPr>
              <w:spacing w:before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3259BA">
              <w:rPr>
                <w:rFonts w:ascii="Cambria" w:hAnsi="Cambria" w:cs="Arial"/>
                <w:sz w:val="20"/>
                <w:szCs w:val="20"/>
              </w:rPr>
              <w:t>Zmiana zapisu §</w:t>
            </w:r>
            <w:r w:rsidRPr="004B52CE">
              <w:rPr>
                <w:rFonts w:ascii="Cambria" w:hAnsi="Cambria" w:cs="Arial"/>
                <w:sz w:val="20"/>
                <w:szCs w:val="20"/>
              </w:rPr>
              <w:t xml:space="preserve"> 34, ust. 3 </w:t>
            </w:r>
            <w:r>
              <w:rPr>
                <w:rFonts w:ascii="Cambria" w:hAnsi="Cambria" w:cs="Arial"/>
                <w:sz w:val="20"/>
                <w:szCs w:val="20"/>
              </w:rPr>
              <w:t xml:space="preserve">polegająca na dopuszczeniu </w:t>
            </w:r>
            <w:r w:rsidRPr="004B52CE">
              <w:rPr>
                <w:rFonts w:ascii="Cambria" w:hAnsi="Cambria" w:cs="Arial"/>
                <w:sz w:val="20"/>
                <w:szCs w:val="20"/>
              </w:rPr>
              <w:t>w istniejących budynkach funkcji usług kultury, gastronomii i administracji,</w:t>
            </w:r>
            <w:r>
              <w:rPr>
                <w:rFonts w:ascii="Cambria" w:hAnsi="Cambria" w:cs="Arial"/>
                <w:sz w:val="20"/>
                <w:szCs w:val="20"/>
              </w:rPr>
              <w:t xml:space="preserve"> nie spowoduje zmiany obowiązującego ograniczenia zabudowy i zagospodarowania terenu oraz nie</w:t>
            </w:r>
            <w:r w:rsidR="008F6556">
              <w:rPr>
                <w:rFonts w:ascii="Cambria" w:hAnsi="Cambria" w:cs="Arial"/>
                <w:sz w:val="20"/>
                <w:szCs w:val="20"/>
              </w:rPr>
              <w:t> </w:t>
            </w:r>
            <w:r>
              <w:rPr>
                <w:rFonts w:ascii="Cambria" w:hAnsi="Cambria" w:cs="Arial"/>
                <w:sz w:val="20"/>
                <w:szCs w:val="20"/>
              </w:rPr>
              <w:t xml:space="preserve">zwiększy oddziaływania na środowisko bądź na tereny sąsiednie. </w:t>
            </w:r>
            <w:r w:rsidR="008F6556">
              <w:rPr>
                <w:rFonts w:ascii="Cambria" w:hAnsi="Cambria" w:cs="Arial"/>
                <w:sz w:val="20"/>
                <w:szCs w:val="20"/>
              </w:rPr>
              <w:t xml:space="preserve">Zmiana planu miejscowego odnosi się wyłącznie do zagospodarowania istniejących budynków bez możliwości realizacji nowej zabudowy oraz bez zmiany funkcji terenu przeznaczonego pod zieleń publiczną typu parkowego. </w:t>
            </w:r>
            <w:r>
              <w:rPr>
                <w:rFonts w:ascii="Cambria" w:hAnsi="Cambria" w:cs="Arial"/>
                <w:sz w:val="20"/>
                <w:szCs w:val="20"/>
              </w:rPr>
              <w:t xml:space="preserve">W związku z powyższym projektowana zmiana mpzp zawiera się w przepisach wynikających z art. 27b ust. 1 pkt 2) lit. </w:t>
            </w:r>
            <w:r w:rsidR="009B4220">
              <w:rPr>
                <w:rFonts w:ascii="Cambria" w:hAnsi="Cambria" w:cs="Arial"/>
                <w:sz w:val="20"/>
                <w:szCs w:val="20"/>
              </w:rPr>
              <w:t>d) ustawy o planowaniu i</w:t>
            </w:r>
            <w:r w:rsidR="00594DA3">
              <w:rPr>
                <w:rFonts w:ascii="Cambria" w:hAnsi="Cambria" w:cs="Arial"/>
                <w:sz w:val="20"/>
                <w:szCs w:val="20"/>
              </w:rPr>
              <w:t> </w:t>
            </w:r>
            <w:r w:rsidR="009B4220">
              <w:rPr>
                <w:rFonts w:ascii="Cambria" w:hAnsi="Cambria" w:cs="Arial"/>
                <w:sz w:val="20"/>
                <w:szCs w:val="20"/>
              </w:rPr>
              <w:t>zagospodarowaniu przestrzennym, dotyczących zastosowania postępowania uproszczonego.</w:t>
            </w:r>
            <w:r w:rsidR="00380010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64192B">
              <w:rPr>
                <w:rFonts w:ascii="Cambria" w:hAnsi="Cambria" w:cs="Arial"/>
                <w:sz w:val="20"/>
                <w:szCs w:val="20"/>
              </w:rPr>
              <w:t xml:space="preserve">Projektowana zmiana nie dotyczy, żadnej sytuacji wymienionej w art. 27b ust. 2 i 3. ustawy o planowaniu i zagospodarowaniu przestrzennym, w związku z czym brak jest przesłanek </w:t>
            </w:r>
            <w:r w:rsidR="006C5C50">
              <w:rPr>
                <w:rFonts w:ascii="Cambria" w:hAnsi="Cambria" w:cs="Arial"/>
                <w:sz w:val="20"/>
                <w:szCs w:val="20"/>
              </w:rPr>
              <w:t>zakazujących</w:t>
            </w:r>
            <w:r w:rsidR="0064192B">
              <w:rPr>
                <w:rFonts w:ascii="Cambria" w:hAnsi="Cambria" w:cs="Arial"/>
                <w:sz w:val="20"/>
                <w:szCs w:val="20"/>
              </w:rPr>
              <w:t xml:space="preserve"> zastosowania postępowania uproszczonego. </w:t>
            </w:r>
          </w:p>
          <w:p w14:paraId="4FAA31B5" w14:textId="77777777" w:rsidR="00CE1D14" w:rsidRPr="00DC6153" w:rsidRDefault="00DC6153" w:rsidP="00CE1D14">
            <w:pPr>
              <w:spacing w:before="12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Projektowana zmiana leży w interesie publicznym miasta zarówno pod względem zwiększenia atrakcyjności i</w:t>
            </w:r>
            <w:r w:rsidR="00594DA3">
              <w:rPr>
                <w:rFonts w:ascii="Cambria" w:hAnsi="Cambria" w:cs="Arial"/>
                <w:sz w:val="20"/>
                <w:szCs w:val="20"/>
              </w:rPr>
              <w:t> </w:t>
            </w:r>
            <w:r>
              <w:rPr>
                <w:rFonts w:ascii="Cambria" w:hAnsi="Cambria" w:cs="Arial"/>
                <w:sz w:val="20"/>
                <w:szCs w:val="20"/>
              </w:rPr>
              <w:t xml:space="preserve">funkcjonalności Parku Belzackiego dla mieszkańców miasta, jak również pod względem ekonomicznym </w:t>
            </w:r>
            <w:r w:rsidR="00871A59">
              <w:rPr>
                <w:rFonts w:ascii="Cambria" w:hAnsi="Cambria" w:cs="Arial"/>
                <w:sz w:val="20"/>
                <w:szCs w:val="20"/>
              </w:rPr>
              <w:t xml:space="preserve">poprzez wygenerowanie </w:t>
            </w:r>
            <w:r>
              <w:rPr>
                <w:rFonts w:ascii="Cambria" w:hAnsi="Cambria" w:cs="Arial"/>
                <w:sz w:val="20"/>
                <w:szCs w:val="20"/>
              </w:rPr>
              <w:t>potencjalnych</w:t>
            </w:r>
            <w:r w:rsidR="00871A59">
              <w:rPr>
                <w:rFonts w:ascii="Cambria" w:hAnsi="Cambria" w:cs="Arial"/>
                <w:sz w:val="20"/>
                <w:szCs w:val="20"/>
              </w:rPr>
              <w:t xml:space="preserve"> dochodów z dodatkowych funkcji.</w:t>
            </w:r>
            <w:r w:rsidR="003259BA">
              <w:rPr>
                <w:rFonts w:ascii="Cambria" w:hAnsi="Cambria" w:cs="Arial"/>
                <w:sz w:val="20"/>
                <w:szCs w:val="20"/>
              </w:rPr>
              <w:t xml:space="preserve"> Dlatego w interesie ogółu społecznego jest</w:t>
            </w:r>
            <w:r w:rsidR="008F6556">
              <w:rPr>
                <w:rFonts w:ascii="Cambria" w:hAnsi="Cambria" w:cs="Arial"/>
                <w:sz w:val="20"/>
                <w:szCs w:val="20"/>
              </w:rPr>
              <w:t> </w:t>
            </w:r>
            <w:r w:rsidR="003259BA">
              <w:rPr>
                <w:rFonts w:ascii="Cambria" w:hAnsi="Cambria" w:cs="Arial"/>
                <w:sz w:val="20"/>
                <w:szCs w:val="20"/>
              </w:rPr>
              <w:t>wprowadzenie zmiany planu w życie w jak najkrótszym czasie, dlatego zdecydowano się na prowadzenie postepowania w trybie uproszczonym wynikającym z art. 27b ustawy o planowaniu i zagospodarowaniu przestrzennym.</w:t>
            </w:r>
          </w:p>
        </w:tc>
      </w:tr>
    </w:tbl>
    <w:p w14:paraId="288C50FB" w14:textId="77777777" w:rsidR="00A02AFA" w:rsidRPr="003C76E3" w:rsidRDefault="00A02AFA" w:rsidP="00346EFB">
      <w:pPr>
        <w:pBdr>
          <w:bottom w:val="single" w:sz="4" w:space="1" w:color="auto"/>
        </w:pBdr>
        <w:spacing w:line="240" w:lineRule="auto"/>
        <w:jc w:val="left"/>
        <w:rPr>
          <w:rFonts w:ascii="Cambria" w:hAnsi="Cambria" w:cs="Arial"/>
        </w:rPr>
      </w:pPr>
    </w:p>
    <w:sectPr w:rsidR="00A02AFA" w:rsidRPr="003C76E3" w:rsidSect="00AE0781">
      <w:pgSz w:w="16838" w:h="11906" w:orient="landscape"/>
      <w:pgMar w:top="1135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7AFDF" w14:textId="77777777" w:rsidR="001740A0" w:rsidRDefault="001740A0" w:rsidP="006E18C5">
      <w:pPr>
        <w:spacing w:line="240" w:lineRule="auto"/>
      </w:pPr>
      <w:r>
        <w:separator/>
      </w:r>
    </w:p>
  </w:endnote>
  <w:endnote w:type="continuationSeparator" w:id="0">
    <w:p w14:paraId="54B63FE3" w14:textId="77777777" w:rsidR="001740A0" w:rsidRDefault="001740A0" w:rsidP="006E18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eekS">
    <w:altName w:val="Calibri"/>
    <w:charset w:val="EE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6CC2" w14:textId="77777777" w:rsidR="001740A0" w:rsidRDefault="001740A0" w:rsidP="006E18C5">
      <w:pPr>
        <w:spacing w:line="240" w:lineRule="auto"/>
      </w:pPr>
      <w:r>
        <w:separator/>
      </w:r>
    </w:p>
  </w:footnote>
  <w:footnote w:type="continuationSeparator" w:id="0">
    <w:p w14:paraId="0F400D06" w14:textId="77777777" w:rsidR="001740A0" w:rsidRDefault="001740A0" w:rsidP="006E18C5">
      <w:pPr>
        <w:spacing w:line="240" w:lineRule="auto"/>
      </w:pPr>
      <w:r>
        <w:continuationSeparator/>
      </w:r>
    </w:p>
  </w:footnote>
  <w:footnote w:id="1">
    <w:p w14:paraId="68680895" w14:textId="77777777" w:rsidR="006E18C5" w:rsidRDefault="006E18C5" w:rsidP="006E18C5">
      <w:pPr>
        <w:pStyle w:val="Tekstprzypisudolnego"/>
        <w:rPr>
          <w:sz w:val="21"/>
          <w:szCs w:val="21"/>
        </w:rPr>
      </w:pPr>
      <w:r>
        <w:rPr>
          <w:rStyle w:val="Odwoanieprzypisudolnego"/>
          <w:sz w:val="21"/>
          <w:szCs w:val="21"/>
        </w:rPr>
        <w:footnoteRef/>
      </w:r>
      <w:r w:rsidR="006C796A">
        <w:rPr>
          <w:sz w:val="21"/>
          <w:szCs w:val="21"/>
        </w:rPr>
        <w:t xml:space="preserve"> </w:t>
      </w:r>
      <w:r w:rsidR="006C796A" w:rsidRPr="00D16D5E">
        <w:rPr>
          <w:rFonts w:ascii="Cambria" w:hAnsi="Cambria"/>
          <w:sz w:val="21"/>
          <w:szCs w:val="21"/>
        </w:rPr>
        <w:t xml:space="preserve">Sporządzone na podstawie </w:t>
      </w:r>
      <w:r w:rsidRPr="00D16D5E">
        <w:rPr>
          <w:rFonts w:ascii="Cambria" w:hAnsi="Cambria"/>
          <w:sz w:val="21"/>
          <w:szCs w:val="21"/>
        </w:rPr>
        <w:t>art. 15, ust. 1 Ustawy z dnia 27 marca 2003 r. o planowaniu i zagospodarowaniu przestrzennym</w:t>
      </w:r>
      <w:r w:rsidR="003B5D1D">
        <w:rPr>
          <w:rFonts w:ascii="Cambria" w:hAnsi="Cambria"/>
          <w:sz w:val="21"/>
          <w:szCs w:val="21"/>
        </w:rPr>
        <w:t xml:space="preserve"> </w:t>
      </w:r>
      <w:r w:rsidR="00F06B35" w:rsidRPr="00F06B35">
        <w:rPr>
          <w:rFonts w:ascii="Cambria" w:hAnsi="Cambria"/>
          <w:sz w:val="21"/>
          <w:szCs w:val="21"/>
        </w:rPr>
        <w:t>(tj. Dz. U. z 20</w:t>
      </w:r>
      <w:r w:rsidR="00DC00E9">
        <w:rPr>
          <w:rFonts w:ascii="Cambria" w:hAnsi="Cambria"/>
          <w:sz w:val="21"/>
          <w:szCs w:val="21"/>
        </w:rPr>
        <w:t>23</w:t>
      </w:r>
      <w:r w:rsidR="00F06B35" w:rsidRPr="00F06B35">
        <w:rPr>
          <w:rFonts w:ascii="Cambria" w:hAnsi="Cambria"/>
          <w:sz w:val="21"/>
          <w:szCs w:val="21"/>
        </w:rPr>
        <w:t xml:space="preserve"> r. poz. </w:t>
      </w:r>
      <w:r w:rsidR="00DC00E9">
        <w:rPr>
          <w:rFonts w:ascii="Cambria" w:hAnsi="Cambria"/>
          <w:sz w:val="21"/>
          <w:szCs w:val="21"/>
        </w:rPr>
        <w:t>977</w:t>
      </w:r>
      <w:r w:rsidR="004B2212">
        <w:rPr>
          <w:rFonts w:ascii="Cambria" w:hAnsi="Cambria"/>
          <w:sz w:val="21"/>
          <w:szCs w:val="21"/>
        </w:rPr>
        <w:t xml:space="preserve"> ze zm.</w:t>
      </w:r>
      <w:r w:rsidR="00F06B35">
        <w:rPr>
          <w:rFonts w:ascii="Cambria" w:hAnsi="Cambria"/>
          <w:sz w:val="21"/>
          <w:szCs w:val="21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multilevel"/>
    <w:tmpl w:val="D39CA148"/>
    <w:name w:val="WW8Num1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065B060B"/>
    <w:multiLevelType w:val="hybridMultilevel"/>
    <w:tmpl w:val="FE3840E4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" w15:restartNumberingAfterBreak="0">
    <w:nsid w:val="0F24794F"/>
    <w:multiLevelType w:val="hybridMultilevel"/>
    <w:tmpl w:val="3F7AAFC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0E748C"/>
    <w:multiLevelType w:val="singleLevel"/>
    <w:tmpl w:val="30B60B54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hAnsi="Times New Roman" w:hint="default"/>
      </w:rPr>
    </w:lvl>
  </w:abstractNum>
  <w:abstractNum w:abstractNumId="5" w15:restartNumberingAfterBreak="0">
    <w:nsid w:val="30B95B66"/>
    <w:multiLevelType w:val="hybridMultilevel"/>
    <w:tmpl w:val="3F7AAFC6"/>
    <w:name w:val="WW8Num9622222"/>
    <w:lvl w:ilvl="0" w:tplc="E8C8DB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85AF7"/>
    <w:multiLevelType w:val="hybridMultilevel"/>
    <w:tmpl w:val="22B4DC5A"/>
    <w:lvl w:ilvl="0" w:tplc="04150011">
      <w:start w:val="1"/>
      <w:numFmt w:val="decimal"/>
      <w:lvlText w:val="%1)"/>
      <w:lvlJc w:val="left"/>
      <w:pPr>
        <w:tabs>
          <w:tab w:val="num" w:pos="1854"/>
        </w:tabs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7" w15:restartNumberingAfterBreak="0">
    <w:nsid w:val="3ED0635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8384B1A"/>
    <w:multiLevelType w:val="hybridMultilevel"/>
    <w:tmpl w:val="CAA8448E"/>
    <w:lvl w:ilvl="0" w:tplc="77625FAC">
      <w:start w:val="1"/>
      <w:numFmt w:val="bullet"/>
      <w:lvlText w:val="‐"/>
      <w:lvlJc w:val="left"/>
      <w:pPr>
        <w:ind w:left="720" w:hanging="360"/>
      </w:pPr>
      <w:rPr>
        <w:rFonts w:ascii="GreekS" w:hAnsi="Greek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031609">
    <w:abstractNumId w:val="6"/>
  </w:num>
  <w:num w:numId="2" w16cid:durableId="2046248026">
    <w:abstractNumId w:val="1"/>
  </w:num>
  <w:num w:numId="6" w16cid:durableId="2070765346">
    <w:abstractNumId w:val="8"/>
  </w:num>
  <w:num w:numId="7" w16cid:durableId="1895390659">
    <w:abstractNumId w:val="3"/>
  </w:num>
  <w:num w:numId="8" w16cid:durableId="1487435629">
    <w:abstractNumId w:val="7"/>
  </w:num>
  <w:num w:numId="9" w16cid:durableId="1629698669">
    <w:abstractNumId w:val="0"/>
  </w:num>
  <w:num w:numId="10" w16cid:durableId="498009430">
    <w:abstractNumId w:val="5"/>
  </w:num>
  <w:num w:numId="11" w16cid:durableId="1386680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29"/>
    <w:rsid w:val="00002097"/>
    <w:rsid w:val="00020ABB"/>
    <w:rsid w:val="00021DE4"/>
    <w:rsid w:val="0002514D"/>
    <w:rsid w:val="0003183D"/>
    <w:rsid w:val="000342D3"/>
    <w:rsid w:val="000362C0"/>
    <w:rsid w:val="00060698"/>
    <w:rsid w:val="000A1797"/>
    <w:rsid w:val="000A38FB"/>
    <w:rsid w:val="000A7CA4"/>
    <w:rsid w:val="000B0C05"/>
    <w:rsid w:val="000B5651"/>
    <w:rsid w:val="000B7C61"/>
    <w:rsid w:val="000C12CA"/>
    <w:rsid w:val="000C2B8B"/>
    <w:rsid w:val="000C38E3"/>
    <w:rsid w:val="000C430D"/>
    <w:rsid w:val="000D50CC"/>
    <w:rsid w:val="000D5591"/>
    <w:rsid w:val="000E2A03"/>
    <w:rsid w:val="000E5AA8"/>
    <w:rsid w:val="000F20FC"/>
    <w:rsid w:val="000F4A59"/>
    <w:rsid w:val="000F59DC"/>
    <w:rsid w:val="001025F0"/>
    <w:rsid w:val="00103F11"/>
    <w:rsid w:val="00111894"/>
    <w:rsid w:val="00113101"/>
    <w:rsid w:val="00114B8E"/>
    <w:rsid w:val="00126D62"/>
    <w:rsid w:val="00126FB9"/>
    <w:rsid w:val="00137EC3"/>
    <w:rsid w:val="00141036"/>
    <w:rsid w:val="00143E5F"/>
    <w:rsid w:val="0015513C"/>
    <w:rsid w:val="001645CE"/>
    <w:rsid w:val="001670D6"/>
    <w:rsid w:val="001740A0"/>
    <w:rsid w:val="0017622D"/>
    <w:rsid w:val="00196F96"/>
    <w:rsid w:val="001A664C"/>
    <w:rsid w:val="001B24CE"/>
    <w:rsid w:val="001C2336"/>
    <w:rsid w:val="001D41F7"/>
    <w:rsid w:val="00221C0A"/>
    <w:rsid w:val="00223590"/>
    <w:rsid w:val="0023141E"/>
    <w:rsid w:val="00250002"/>
    <w:rsid w:val="002515F2"/>
    <w:rsid w:val="00252BFB"/>
    <w:rsid w:val="002532AF"/>
    <w:rsid w:val="00255F89"/>
    <w:rsid w:val="00275D33"/>
    <w:rsid w:val="00281BA6"/>
    <w:rsid w:val="00291ED0"/>
    <w:rsid w:val="00295995"/>
    <w:rsid w:val="002B5C21"/>
    <w:rsid w:val="002C1AE2"/>
    <w:rsid w:val="002C7879"/>
    <w:rsid w:val="002D3DDD"/>
    <w:rsid w:val="002E122C"/>
    <w:rsid w:val="002E3B30"/>
    <w:rsid w:val="002E3BE6"/>
    <w:rsid w:val="002F475F"/>
    <w:rsid w:val="002F5B54"/>
    <w:rsid w:val="00307830"/>
    <w:rsid w:val="00320854"/>
    <w:rsid w:val="0032203A"/>
    <w:rsid w:val="003259BA"/>
    <w:rsid w:val="00325DA6"/>
    <w:rsid w:val="00330A60"/>
    <w:rsid w:val="00332EE7"/>
    <w:rsid w:val="00346EFB"/>
    <w:rsid w:val="00354BA9"/>
    <w:rsid w:val="00367B68"/>
    <w:rsid w:val="003704B9"/>
    <w:rsid w:val="0037231F"/>
    <w:rsid w:val="00372F6D"/>
    <w:rsid w:val="0037316E"/>
    <w:rsid w:val="00380010"/>
    <w:rsid w:val="00385CC1"/>
    <w:rsid w:val="00391DD6"/>
    <w:rsid w:val="003B5D1D"/>
    <w:rsid w:val="003C76E3"/>
    <w:rsid w:val="003D6CDA"/>
    <w:rsid w:val="003E5908"/>
    <w:rsid w:val="003F6D88"/>
    <w:rsid w:val="00402D19"/>
    <w:rsid w:val="00411E76"/>
    <w:rsid w:val="00412CAD"/>
    <w:rsid w:val="00426289"/>
    <w:rsid w:val="004443F1"/>
    <w:rsid w:val="00457CED"/>
    <w:rsid w:val="00467A5F"/>
    <w:rsid w:val="00481082"/>
    <w:rsid w:val="00481083"/>
    <w:rsid w:val="00494A45"/>
    <w:rsid w:val="004A0C64"/>
    <w:rsid w:val="004B2212"/>
    <w:rsid w:val="004B52CE"/>
    <w:rsid w:val="004C766C"/>
    <w:rsid w:val="004D193B"/>
    <w:rsid w:val="004E2E00"/>
    <w:rsid w:val="004F32CF"/>
    <w:rsid w:val="004F7971"/>
    <w:rsid w:val="00504453"/>
    <w:rsid w:val="0051141E"/>
    <w:rsid w:val="0052452B"/>
    <w:rsid w:val="00530810"/>
    <w:rsid w:val="00530D1B"/>
    <w:rsid w:val="00533A31"/>
    <w:rsid w:val="00556FCF"/>
    <w:rsid w:val="00560AE4"/>
    <w:rsid w:val="005613A2"/>
    <w:rsid w:val="00571748"/>
    <w:rsid w:val="00583B85"/>
    <w:rsid w:val="00594DA3"/>
    <w:rsid w:val="005B1010"/>
    <w:rsid w:val="005C50E6"/>
    <w:rsid w:val="005D7DEF"/>
    <w:rsid w:val="005E1CFF"/>
    <w:rsid w:val="005E2D4B"/>
    <w:rsid w:val="006008BA"/>
    <w:rsid w:val="00604660"/>
    <w:rsid w:val="00614632"/>
    <w:rsid w:val="0062094B"/>
    <w:rsid w:val="00622A8D"/>
    <w:rsid w:val="006238D9"/>
    <w:rsid w:val="0063046D"/>
    <w:rsid w:val="0063516B"/>
    <w:rsid w:val="0064192B"/>
    <w:rsid w:val="006439A3"/>
    <w:rsid w:val="00654835"/>
    <w:rsid w:val="00661A30"/>
    <w:rsid w:val="006A2222"/>
    <w:rsid w:val="006A4F0C"/>
    <w:rsid w:val="006A72EF"/>
    <w:rsid w:val="006C1741"/>
    <w:rsid w:val="006C2AFA"/>
    <w:rsid w:val="006C5C50"/>
    <w:rsid w:val="006C796A"/>
    <w:rsid w:val="006D33C1"/>
    <w:rsid w:val="006E18C5"/>
    <w:rsid w:val="006E6E2F"/>
    <w:rsid w:val="006F7B06"/>
    <w:rsid w:val="00707C4C"/>
    <w:rsid w:val="007107C0"/>
    <w:rsid w:val="007109A9"/>
    <w:rsid w:val="00716F6E"/>
    <w:rsid w:val="007364B5"/>
    <w:rsid w:val="00751D05"/>
    <w:rsid w:val="00762B2F"/>
    <w:rsid w:val="00762CD2"/>
    <w:rsid w:val="007674E7"/>
    <w:rsid w:val="00774F7C"/>
    <w:rsid w:val="00777112"/>
    <w:rsid w:val="00781540"/>
    <w:rsid w:val="00787616"/>
    <w:rsid w:val="007A4E71"/>
    <w:rsid w:val="007A6C7D"/>
    <w:rsid w:val="007B0350"/>
    <w:rsid w:val="007C5F86"/>
    <w:rsid w:val="007D30A4"/>
    <w:rsid w:val="007D70BC"/>
    <w:rsid w:val="007F2816"/>
    <w:rsid w:val="007F73F0"/>
    <w:rsid w:val="007F7DD8"/>
    <w:rsid w:val="00810246"/>
    <w:rsid w:val="0081192B"/>
    <w:rsid w:val="008426BD"/>
    <w:rsid w:val="0086678F"/>
    <w:rsid w:val="008719C8"/>
    <w:rsid w:val="00871A59"/>
    <w:rsid w:val="00877A8E"/>
    <w:rsid w:val="008920C8"/>
    <w:rsid w:val="008A5938"/>
    <w:rsid w:val="008B0C7D"/>
    <w:rsid w:val="008C01BA"/>
    <w:rsid w:val="008D2BFB"/>
    <w:rsid w:val="008D67C3"/>
    <w:rsid w:val="008E2EDD"/>
    <w:rsid w:val="008F4B48"/>
    <w:rsid w:val="008F62A1"/>
    <w:rsid w:val="008F6556"/>
    <w:rsid w:val="0090031B"/>
    <w:rsid w:val="009042FE"/>
    <w:rsid w:val="0091398B"/>
    <w:rsid w:val="009151EE"/>
    <w:rsid w:val="00926F4C"/>
    <w:rsid w:val="00941B9E"/>
    <w:rsid w:val="00946A2F"/>
    <w:rsid w:val="00955DEE"/>
    <w:rsid w:val="009734E4"/>
    <w:rsid w:val="0099350B"/>
    <w:rsid w:val="00996439"/>
    <w:rsid w:val="009A1050"/>
    <w:rsid w:val="009A4874"/>
    <w:rsid w:val="009B4220"/>
    <w:rsid w:val="009C05DE"/>
    <w:rsid w:val="009D0285"/>
    <w:rsid w:val="009D1027"/>
    <w:rsid w:val="009E38D6"/>
    <w:rsid w:val="00A02AFA"/>
    <w:rsid w:val="00A30C5C"/>
    <w:rsid w:val="00A3525B"/>
    <w:rsid w:val="00A525D0"/>
    <w:rsid w:val="00A55FE3"/>
    <w:rsid w:val="00A77EF5"/>
    <w:rsid w:val="00A91131"/>
    <w:rsid w:val="00A9115C"/>
    <w:rsid w:val="00A9448A"/>
    <w:rsid w:val="00AA146A"/>
    <w:rsid w:val="00AB10CB"/>
    <w:rsid w:val="00AB6A86"/>
    <w:rsid w:val="00AC6502"/>
    <w:rsid w:val="00AD04F7"/>
    <w:rsid w:val="00AD480E"/>
    <w:rsid w:val="00AD5A48"/>
    <w:rsid w:val="00AD7B82"/>
    <w:rsid w:val="00AE0781"/>
    <w:rsid w:val="00AE3A9D"/>
    <w:rsid w:val="00AF3B1B"/>
    <w:rsid w:val="00B023A8"/>
    <w:rsid w:val="00B15BC7"/>
    <w:rsid w:val="00B37363"/>
    <w:rsid w:val="00B4116C"/>
    <w:rsid w:val="00B8286C"/>
    <w:rsid w:val="00B83C49"/>
    <w:rsid w:val="00B865FA"/>
    <w:rsid w:val="00B90FEF"/>
    <w:rsid w:val="00B96CD9"/>
    <w:rsid w:val="00BA398B"/>
    <w:rsid w:val="00BB157B"/>
    <w:rsid w:val="00BC2333"/>
    <w:rsid w:val="00BC2FF2"/>
    <w:rsid w:val="00BD04E9"/>
    <w:rsid w:val="00BD213A"/>
    <w:rsid w:val="00BD2F89"/>
    <w:rsid w:val="00BD5CF5"/>
    <w:rsid w:val="00BD757E"/>
    <w:rsid w:val="00BE3623"/>
    <w:rsid w:val="00BE7940"/>
    <w:rsid w:val="00C05234"/>
    <w:rsid w:val="00C1321C"/>
    <w:rsid w:val="00C154EF"/>
    <w:rsid w:val="00C20D24"/>
    <w:rsid w:val="00C350A2"/>
    <w:rsid w:val="00C35C7A"/>
    <w:rsid w:val="00C462E6"/>
    <w:rsid w:val="00C46D68"/>
    <w:rsid w:val="00C54FC5"/>
    <w:rsid w:val="00C6118E"/>
    <w:rsid w:val="00C639D7"/>
    <w:rsid w:val="00C67624"/>
    <w:rsid w:val="00C67BFC"/>
    <w:rsid w:val="00C74AFA"/>
    <w:rsid w:val="00C949D3"/>
    <w:rsid w:val="00CA2FB6"/>
    <w:rsid w:val="00CC063F"/>
    <w:rsid w:val="00CC35CF"/>
    <w:rsid w:val="00CE1D14"/>
    <w:rsid w:val="00CE6C80"/>
    <w:rsid w:val="00CE7402"/>
    <w:rsid w:val="00CF0013"/>
    <w:rsid w:val="00D16D5E"/>
    <w:rsid w:val="00D27017"/>
    <w:rsid w:val="00D41CEC"/>
    <w:rsid w:val="00D45152"/>
    <w:rsid w:val="00D600BE"/>
    <w:rsid w:val="00D600F9"/>
    <w:rsid w:val="00D602BE"/>
    <w:rsid w:val="00D653BD"/>
    <w:rsid w:val="00D76FBE"/>
    <w:rsid w:val="00D77369"/>
    <w:rsid w:val="00D85F22"/>
    <w:rsid w:val="00D87310"/>
    <w:rsid w:val="00DA1463"/>
    <w:rsid w:val="00DB3A04"/>
    <w:rsid w:val="00DC00E9"/>
    <w:rsid w:val="00DC1CC6"/>
    <w:rsid w:val="00DC243E"/>
    <w:rsid w:val="00DC5A9D"/>
    <w:rsid w:val="00DC6153"/>
    <w:rsid w:val="00DE1FD9"/>
    <w:rsid w:val="00DE4285"/>
    <w:rsid w:val="00DE435D"/>
    <w:rsid w:val="00DE7A01"/>
    <w:rsid w:val="00DF4342"/>
    <w:rsid w:val="00DF6562"/>
    <w:rsid w:val="00E0711D"/>
    <w:rsid w:val="00E1358D"/>
    <w:rsid w:val="00E233A3"/>
    <w:rsid w:val="00E30221"/>
    <w:rsid w:val="00E3400B"/>
    <w:rsid w:val="00E35298"/>
    <w:rsid w:val="00E40087"/>
    <w:rsid w:val="00E4115F"/>
    <w:rsid w:val="00E41164"/>
    <w:rsid w:val="00E466E8"/>
    <w:rsid w:val="00E54B2E"/>
    <w:rsid w:val="00E566C5"/>
    <w:rsid w:val="00E60519"/>
    <w:rsid w:val="00E61755"/>
    <w:rsid w:val="00E74167"/>
    <w:rsid w:val="00E76FBC"/>
    <w:rsid w:val="00E85E21"/>
    <w:rsid w:val="00E9480A"/>
    <w:rsid w:val="00EA47C7"/>
    <w:rsid w:val="00EB24C9"/>
    <w:rsid w:val="00EB7E5D"/>
    <w:rsid w:val="00EC1D83"/>
    <w:rsid w:val="00EE78F2"/>
    <w:rsid w:val="00F06B35"/>
    <w:rsid w:val="00F14F23"/>
    <w:rsid w:val="00F2195B"/>
    <w:rsid w:val="00F27083"/>
    <w:rsid w:val="00F274B2"/>
    <w:rsid w:val="00F36F80"/>
    <w:rsid w:val="00F411A2"/>
    <w:rsid w:val="00F4758B"/>
    <w:rsid w:val="00F54EFE"/>
    <w:rsid w:val="00F66B7E"/>
    <w:rsid w:val="00F72E29"/>
    <w:rsid w:val="00F95186"/>
    <w:rsid w:val="00FA071A"/>
    <w:rsid w:val="00FA084A"/>
    <w:rsid w:val="00FD61C4"/>
    <w:rsid w:val="00FE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7F54A3"/>
  <w15:chartTrackingRefBased/>
  <w15:docId w15:val="{C9C81633-1072-4A81-82FC-2EEF03FE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A9D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A6C7D"/>
    <w:rPr>
      <w:color w:val="0563C1"/>
      <w:u w:val="single"/>
    </w:rPr>
  </w:style>
  <w:style w:type="character" w:styleId="Numerwiersza">
    <w:name w:val="line number"/>
    <w:uiPriority w:val="99"/>
    <w:semiHidden/>
    <w:unhideWhenUsed/>
    <w:rsid w:val="007A6C7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18C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18C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E18C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8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183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221C0A"/>
    <w:pPr>
      <w:suppressAutoHyphens/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946A2F"/>
    <w:pPr>
      <w:spacing w:line="240" w:lineRule="auto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946A2F"/>
    <w:rPr>
      <w:rFonts w:ascii="Times New Roman" w:eastAsia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10454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1" w:color="auto"/>
            <w:bottom w:val="single" w:sz="4" w:space="1" w:color="auto"/>
            <w:right w:val="single" w:sz="4" w:space="1" w:color="auto"/>
          </w:divBdr>
        </w:div>
        <w:div w:id="547571275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1" w:color="auto"/>
            <w:bottom w:val="single" w:sz="4" w:space="1" w:color="auto"/>
            <w:right w:val="single" w:sz="4" w:space="1" w:color="auto"/>
          </w:divBdr>
        </w:div>
        <w:div w:id="1166702775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1" w:color="auto"/>
            <w:bottom w:val="single" w:sz="4" w:space="1" w:color="auto"/>
            <w:right w:val="single" w:sz="4" w:space="1" w:color="auto"/>
          </w:divBdr>
        </w:div>
      </w:divsChild>
    </w:div>
    <w:div w:id="9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2095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</dc:creator>
  <cp:keywords/>
  <dc:description/>
  <cp:lastModifiedBy>Paweł Banaszczyk</cp:lastModifiedBy>
  <cp:revision>2</cp:revision>
  <cp:lastPrinted>2023-11-17T09:40:00Z</cp:lastPrinted>
  <dcterms:created xsi:type="dcterms:W3CDTF">2023-12-13T10:37:00Z</dcterms:created>
  <dcterms:modified xsi:type="dcterms:W3CDTF">2023-12-13T10:37:00Z</dcterms:modified>
</cp:coreProperties>
</file>